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67817" w:rsidRPr="00BD3DDF" w:rsidRDefault="00D5564A" w:rsidP="0091245D">
      <w:pPr>
        <w:spacing w:after="0"/>
        <w:rPr>
          <w:rFonts w:ascii="Arial" w:hAnsi="Arial" w:cs="Arial"/>
          <w:b/>
          <w:caps/>
          <w:sz w:val="36"/>
          <w:szCs w:val="36"/>
        </w:rPr>
      </w:pPr>
      <w:r w:rsidRPr="00BD3DDF">
        <w:rPr>
          <w:rFonts w:ascii="Arial" w:hAnsi="Arial" w:cs="Arial"/>
          <w:b/>
          <w:caps/>
          <w:noProof/>
          <w:sz w:val="36"/>
          <w:szCs w:val="36"/>
          <w:lang w:eastAsia="sl-SI"/>
        </w:rPr>
        <w:drawing>
          <wp:inline distT="0" distB="0" distL="0" distR="0" wp14:anchorId="64DA068C" wp14:editId="71AD04A9">
            <wp:extent cx="2026113" cy="594123"/>
            <wp:effectExtent l="0" t="0" r="0" b="3175"/>
            <wp:docPr id="1744261642" name="Picture 1" descr="A blue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61642" name="Picture 1" descr="A blue and grey logo&#10;&#10;Description automatically generated"/>
                    <pic:cNvPicPr/>
                  </pic:nvPicPr>
                  <pic:blipFill>
                    <a:blip r:embed="rId8"/>
                    <a:stretch>
                      <a:fillRect/>
                    </a:stretch>
                  </pic:blipFill>
                  <pic:spPr>
                    <a:xfrm>
                      <a:off x="0" y="0"/>
                      <a:ext cx="2092600" cy="613619"/>
                    </a:xfrm>
                    <a:prstGeom prst="rect">
                      <a:avLst/>
                    </a:prstGeom>
                  </pic:spPr>
                </pic:pic>
              </a:graphicData>
            </a:graphic>
          </wp:inline>
        </w:drawing>
      </w:r>
      <w:r w:rsidR="007452A6" w:rsidRPr="00BD3DDF">
        <w:rPr>
          <w:rFonts w:ascii="Arial" w:hAnsi="Arial" w:cs="Arial"/>
          <w:b/>
          <w:caps/>
          <w:sz w:val="36"/>
          <w:szCs w:val="36"/>
        </w:rPr>
        <w:t xml:space="preserve">               </w:t>
      </w:r>
      <w:r w:rsidR="001D6118" w:rsidRPr="00BD3DDF">
        <w:rPr>
          <w:rFonts w:ascii="Arial" w:hAnsi="Arial" w:cs="Arial"/>
          <w:b/>
          <w:caps/>
          <w:sz w:val="36"/>
          <w:szCs w:val="36"/>
        </w:rPr>
        <w:t xml:space="preserve"> </w:t>
      </w:r>
      <w:r w:rsidRPr="00BD3DDF">
        <w:rPr>
          <w:rFonts w:ascii="Arial" w:hAnsi="Arial" w:cs="Arial"/>
          <w:b/>
          <w:caps/>
          <w:noProof/>
          <w:sz w:val="36"/>
          <w:szCs w:val="36"/>
          <w:lang w:eastAsia="sl-SI"/>
        </w:rPr>
        <w:drawing>
          <wp:inline distT="0" distB="0" distL="0" distR="0" wp14:anchorId="69CE3BA5" wp14:editId="76CEEABC">
            <wp:extent cx="1357454" cy="1357454"/>
            <wp:effectExtent l="0" t="0" r="1905" b="1905"/>
            <wp:docPr id="526370622" name="Picture 1" descr="A close-up of a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70622" name="Picture 1" descr="A close-up of a company name&#10;&#10;Description automatically generated"/>
                    <pic:cNvPicPr/>
                  </pic:nvPicPr>
                  <pic:blipFill>
                    <a:blip r:embed="rId9"/>
                    <a:stretch>
                      <a:fillRect/>
                    </a:stretch>
                  </pic:blipFill>
                  <pic:spPr>
                    <a:xfrm>
                      <a:off x="0" y="0"/>
                      <a:ext cx="1385361" cy="1385361"/>
                    </a:xfrm>
                    <a:prstGeom prst="rect">
                      <a:avLst/>
                    </a:prstGeom>
                  </pic:spPr>
                </pic:pic>
              </a:graphicData>
            </a:graphic>
          </wp:inline>
        </w:drawing>
      </w:r>
    </w:p>
    <w:p w:rsidR="00D5564A" w:rsidRPr="00BD3DDF" w:rsidRDefault="00D5564A" w:rsidP="0091245D">
      <w:pPr>
        <w:spacing w:after="0"/>
        <w:rPr>
          <w:rFonts w:ascii="Arial" w:hAnsi="Arial" w:cs="Arial"/>
          <w:b/>
          <w:caps/>
          <w:sz w:val="36"/>
          <w:szCs w:val="36"/>
        </w:rPr>
      </w:pPr>
      <w:r w:rsidRPr="00BD3DDF">
        <w:rPr>
          <w:rFonts w:ascii="Arial" w:hAnsi="Arial" w:cs="Arial"/>
          <w:b/>
          <w:caps/>
          <w:sz w:val="36"/>
          <w:szCs w:val="36"/>
        </w:rPr>
        <w:t>_____________________________________________</w:t>
      </w:r>
    </w:p>
    <w:p w:rsidR="00467817" w:rsidRPr="00BD3DDF" w:rsidRDefault="00467817" w:rsidP="0091245D">
      <w:pPr>
        <w:spacing w:after="0"/>
        <w:jc w:val="center"/>
        <w:rPr>
          <w:rFonts w:ascii="Arial" w:hAnsi="Arial" w:cs="Arial"/>
          <w:b/>
          <w:caps/>
          <w:sz w:val="36"/>
          <w:szCs w:val="36"/>
        </w:rPr>
      </w:pPr>
    </w:p>
    <w:p w:rsidR="00467817" w:rsidRPr="00BD3DDF" w:rsidRDefault="00467817" w:rsidP="0091245D">
      <w:pPr>
        <w:spacing w:after="0"/>
        <w:jc w:val="center"/>
        <w:rPr>
          <w:rFonts w:ascii="Arial" w:hAnsi="Arial" w:cs="Arial"/>
          <w:b/>
          <w:caps/>
          <w:sz w:val="36"/>
          <w:szCs w:val="36"/>
        </w:rPr>
      </w:pPr>
    </w:p>
    <w:p w:rsidR="0006747A" w:rsidRPr="00BD3DDF" w:rsidRDefault="0006747A" w:rsidP="0091245D">
      <w:pPr>
        <w:spacing w:after="0"/>
        <w:jc w:val="center"/>
        <w:rPr>
          <w:rFonts w:ascii="Arial" w:hAnsi="Arial" w:cs="Arial"/>
          <w:b/>
          <w:caps/>
          <w:color w:val="864EA8" w:themeColor="accent1" w:themeShade="BF"/>
          <w:sz w:val="36"/>
          <w:szCs w:val="36"/>
        </w:rPr>
      </w:pPr>
      <w:r w:rsidRPr="00BD3DDF">
        <w:rPr>
          <w:rFonts w:ascii="Arial" w:hAnsi="Arial" w:cs="Arial"/>
          <w:b/>
          <w:caps/>
          <w:color w:val="864EA8" w:themeColor="accent1" w:themeShade="BF"/>
          <w:sz w:val="36"/>
          <w:szCs w:val="36"/>
        </w:rPr>
        <w:t>Analiza stanja na področju uveljavljanja pravic intelektualne lastnine v Republiki Sloveniji v letu 202</w:t>
      </w:r>
      <w:r w:rsidR="00E07A9F" w:rsidRPr="00BD3DDF">
        <w:rPr>
          <w:rFonts w:ascii="Arial" w:hAnsi="Arial" w:cs="Arial"/>
          <w:b/>
          <w:caps/>
          <w:color w:val="864EA8" w:themeColor="accent1" w:themeShade="BF"/>
          <w:sz w:val="36"/>
          <w:szCs w:val="36"/>
        </w:rPr>
        <w:t>5</w:t>
      </w:r>
    </w:p>
    <w:p w:rsidR="00467817" w:rsidRPr="00BD3DDF" w:rsidRDefault="00467817" w:rsidP="0091245D">
      <w:pPr>
        <w:spacing w:after="0"/>
        <w:jc w:val="center"/>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pPr>
      <w:r w:rsidRPr="00BD3DDF">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w:t>
      </w:r>
      <w:r w:rsidR="00AD5F0B" w:rsidRPr="00BD3DDF">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 xml:space="preserve"> </w:t>
      </w:r>
      <w:r w:rsidRPr="00BD3DDF">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w:t>
      </w:r>
      <w:r w:rsidR="00AD5F0B" w:rsidRPr="00BD3DDF">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 xml:space="preserve"> </w:t>
      </w:r>
      <w:r w:rsidRPr="00BD3DDF">
        <w:rPr>
          <w:rFonts w:ascii="Cambria Math" w:hAnsi="Cambria Math" w:cs="Cambria Math"/>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w:t>
      </w:r>
      <w:r w:rsidR="00AD5F0B" w:rsidRPr="00BD3DDF">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 xml:space="preserve"> </w:t>
      </w:r>
      <w:r w:rsidRPr="00BD3DDF">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w:t>
      </w:r>
      <w:r w:rsidR="00AD5F0B" w:rsidRPr="00BD3DDF">
        <w:rPr>
          <w:rFonts w:ascii="Abadi" w:hAnsi="Abadi" w:cs="Aria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 xml:space="preserve"> </w:t>
      </w:r>
      <w:r w:rsidRPr="00BD3DDF">
        <w:rPr>
          <w:rFonts w:ascii="Segoe UI Symbol" w:hAnsi="Segoe UI Symbol" w:cs="Segoe UI Symbol"/>
          <w:b/>
          <w:caps/>
          <w:color w:val="AD84C6" w:themeColor="accent1"/>
          <w:sz w:val="48"/>
          <w:szCs w:val="48"/>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chemeClr w14:val="accent1">
                    <w14:lumMod w14:val="60000"/>
                    <w14:lumOff w14:val="40000"/>
                    <w14:shade w14:val="100000"/>
                    <w14:satMod w14:val="115000"/>
                  </w14:schemeClr>
                </w14:gs>
              </w14:gsLst>
              <w14:lin w14:ang="5400000" w14:scaled="0"/>
            </w14:gradFill>
          </w14:textFill>
        </w:rPr>
        <w:t>℠</w:t>
      </w:r>
    </w:p>
    <w:p w:rsidR="00D5564A" w:rsidRPr="00BD3DDF" w:rsidRDefault="00D5564A" w:rsidP="0091245D">
      <w:pPr>
        <w:spacing w:after="0"/>
        <w:jc w:val="center"/>
        <w:rPr>
          <w:rFonts w:asciiTheme="majorHAnsi" w:hAnsiTheme="majorHAnsi" w:cs="Arial"/>
          <w:bCs/>
          <w:sz w:val="28"/>
          <w:szCs w:val="28"/>
        </w:rPr>
      </w:pPr>
    </w:p>
    <w:p w:rsidR="00D5564A" w:rsidRPr="00BD3DDF" w:rsidRDefault="00D5564A" w:rsidP="0091245D">
      <w:pPr>
        <w:spacing w:after="0"/>
        <w:jc w:val="center"/>
        <w:rPr>
          <w:rFonts w:asciiTheme="majorHAnsi" w:hAnsiTheme="majorHAnsi" w:cs="Arial"/>
          <w:bCs/>
          <w:sz w:val="28"/>
          <w:szCs w:val="28"/>
        </w:rPr>
      </w:pPr>
    </w:p>
    <w:p w:rsidR="00D5564A" w:rsidRPr="00BD3DDF" w:rsidRDefault="00D5564A" w:rsidP="0091245D">
      <w:pPr>
        <w:spacing w:after="0"/>
        <w:jc w:val="center"/>
        <w:rPr>
          <w:rFonts w:asciiTheme="majorHAnsi" w:hAnsiTheme="majorHAnsi" w:cs="Arial"/>
          <w:bCs/>
          <w:sz w:val="28"/>
          <w:szCs w:val="28"/>
        </w:rPr>
      </w:pPr>
    </w:p>
    <w:p w:rsidR="0006747A" w:rsidRPr="00BD3DDF" w:rsidRDefault="00F33184" w:rsidP="0091245D">
      <w:pPr>
        <w:spacing w:after="0"/>
        <w:jc w:val="center"/>
        <w:rPr>
          <w:rFonts w:asciiTheme="majorHAnsi" w:hAnsiTheme="majorHAnsi" w:cs="Arial"/>
          <w:bCs/>
          <w:sz w:val="28"/>
          <w:szCs w:val="28"/>
        </w:rPr>
      </w:pPr>
      <w:r w:rsidRPr="00BD3DDF">
        <w:rPr>
          <w:rFonts w:asciiTheme="majorHAnsi" w:hAnsiTheme="majorHAnsi" w:cs="Arial"/>
          <w:bCs/>
          <w:sz w:val="28"/>
          <w:szCs w:val="28"/>
        </w:rPr>
        <w:t>izr. prof</w:t>
      </w:r>
      <w:r w:rsidR="00067095" w:rsidRPr="00BD3DDF">
        <w:rPr>
          <w:rFonts w:asciiTheme="majorHAnsi" w:hAnsiTheme="majorHAnsi" w:cs="Arial"/>
          <w:bCs/>
          <w:sz w:val="28"/>
          <w:szCs w:val="28"/>
        </w:rPr>
        <w:t xml:space="preserve">. </w:t>
      </w:r>
      <w:r w:rsidR="0072045B" w:rsidRPr="00BD3DDF">
        <w:rPr>
          <w:rFonts w:asciiTheme="majorHAnsi" w:hAnsiTheme="majorHAnsi" w:cs="Arial"/>
          <w:bCs/>
          <w:sz w:val="28"/>
          <w:szCs w:val="28"/>
        </w:rPr>
        <w:t>dr. Eneja Drobež</w:t>
      </w:r>
    </w:p>
    <w:p w:rsidR="0072045B" w:rsidRPr="00BD3DDF" w:rsidRDefault="0072045B" w:rsidP="0091245D">
      <w:pPr>
        <w:spacing w:after="0"/>
        <w:jc w:val="center"/>
        <w:rPr>
          <w:rFonts w:asciiTheme="majorHAnsi" w:hAnsiTheme="majorHAnsi" w:cs="Arial"/>
          <w:bCs/>
          <w:sz w:val="28"/>
          <w:szCs w:val="28"/>
        </w:rPr>
      </w:pPr>
      <w:r w:rsidRPr="00BD3DDF">
        <w:rPr>
          <w:rFonts w:asciiTheme="majorHAnsi" w:hAnsiTheme="majorHAnsi" w:cs="Arial"/>
          <w:bCs/>
          <w:sz w:val="28"/>
          <w:szCs w:val="28"/>
        </w:rPr>
        <w:t xml:space="preserve">Magda </w:t>
      </w:r>
      <w:proofErr w:type="spellStart"/>
      <w:r w:rsidRPr="00BD3DDF">
        <w:rPr>
          <w:rFonts w:asciiTheme="majorHAnsi" w:hAnsiTheme="majorHAnsi" w:cs="Arial"/>
          <w:bCs/>
          <w:sz w:val="28"/>
          <w:szCs w:val="28"/>
        </w:rPr>
        <w:t>Teppey</w:t>
      </w:r>
      <w:proofErr w:type="spellEnd"/>
    </w:p>
    <w:p w:rsidR="00D82135" w:rsidRPr="00BD3DDF" w:rsidRDefault="00D82135" w:rsidP="0091245D"/>
    <w:p w:rsidR="0006747A" w:rsidRPr="00BD3DDF" w:rsidRDefault="0006747A" w:rsidP="0091245D"/>
    <w:p w:rsidR="00E433BD" w:rsidRPr="00BD3DDF" w:rsidRDefault="00E07A9F" w:rsidP="0091245D">
      <w:pPr>
        <w:jc w:val="center"/>
        <w:rPr>
          <w:rFonts w:asciiTheme="majorHAnsi" w:hAnsiTheme="majorHAnsi" w:cs="Arial"/>
          <w:sz w:val="28"/>
          <w:szCs w:val="28"/>
        </w:rPr>
      </w:pPr>
      <w:r w:rsidRPr="00BD3DDF">
        <w:rPr>
          <w:rFonts w:asciiTheme="majorHAnsi" w:hAnsiTheme="majorHAnsi" w:cs="Arial"/>
          <w:sz w:val="28"/>
          <w:szCs w:val="28"/>
        </w:rPr>
        <w:t>April</w:t>
      </w:r>
      <w:r w:rsidR="0072045B" w:rsidRPr="00BD3DDF">
        <w:rPr>
          <w:rFonts w:asciiTheme="majorHAnsi" w:hAnsiTheme="majorHAnsi" w:cs="Arial"/>
          <w:sz w:val="28"/>
          <w:szCs w:val="28"/>
        </w:rPr>
        <w:t xml:space="preserve"> 202</w:t>
      </w:r>
      <w:r w:rsidR="00216D2C">
        <w:rPr>
          <w:rFonts w:asciiTheme="majorHAnsi" w:hAnsiTheme="majorHAnsi" w:cs="Arial"/>
          <w:sz w:val="28"/>
          <w:szCs w:val="28"/>
        </w:rPr>
        <w:t>6</w:t>
      </w:r>
      <w:bookmarkStart w:id="0" w:name="_GoBack"/>
      <w:bookmarkEnd w:id="0"/>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AA027C" w:rsidRPr="00BD3DDF" w:rsidRDefault="00AA027C" w:rsidP="00AA027C">
      <w:pPr>
        <w:rPr>
          <w:rFonts w:asciiTheme="majorHAnsi" w:hAnsiTheme="majorHAnsi" w:cs="Arial"/>
          <w:sz w:val="28"/>
          <w:szCs w:val="28"/>
        </w:rPr>
      </w:pPr>
    </w:p>
    <w:p w:rsidR="002D1859" w:rsidRPr="00BD3DDF" w:rsidRDefault="002D1859" w:rsidP="002D1859">
      <w:pPr>
        <w:rPr>
          <w:rFonts w:cs="Arial"/>
          <w:szCs w:val="24"/>
        </w:rPr>
      </w:pPr>
    </w:p>
    <w:p w:rsidR="002D1859" w:rsidRPr="00BD3DDF" w:rsidRDefault="002D1859" w:rsidP="002D1859">
      <w:pPr>
        <w:rPr>
          <w:rFonts w:cs="Arial"/>
          <w:szCs w:val="24"/>
        </w:rPr>
      </w:pPr>
    </w:p>
    <w:p w:rsidR="002D1859" w:rsidRPr="00BD3DDF" w:rsidRDefault="002D1859" w:rsidP="002D1859">
      <w:pPr>
        <w:rPr>
          <w:rFonts w:cs="Arial"/>
          <w:szCs w:val="24"/>
        </w:rPr>
      </w:pPr>
    </w:p>
    <w:p w:rsidR="002D1859" w:rsidRPr="00BD3DDF" w:rsidRDefault="002D1859" w:rsidP="002D1859">
      <w:pPr>
        <w:rPr>
          <w:rFonts w:cs="Arial"/>
          <w:szCs w:val="24"/>
        </w:rPr>
      </w:pPr>
    </w:p>
    <w:p w:rsidR="002D1859" w:rsidRPr="00BD3DDF" w:rsidRDefault="002D1859" w:rsidP="002D1859">
      <w:pPr>
        <w:rPr>
          <w:rFonts w:cs="Arial"/>
          <w:szCs w:val="24"/>
        </w:rPr>
      </w:pPr>
    </w:p>
    <w:p w:rsidR="002D1859" w:rsidRPr="00BD3DDF" w:rsidRDefault="002D1859" w:rsidP="002D1859">
      <w:pPr>
        <w:rPr>
          <w:rFonts w:cs="Arial"/>
          <w:sz w:val="28"/>
          <w:szCs w:val="28"/>
        </w:rPr>
      </w:pPr>
      <w:r w:rsidRPr="00BD3DDF">
        <w:rPr>
          <w:rFonts w:cs="Arial"/>
          <w:szCs w:val="24"/>
        </w:rPr>
        <w:t>Analiza je nastala v okviru mednarodnega sodelovanja Urada Republike Slovenije za intelektualno lastnino</w:t>
      </w:r>
      <w:r w:rsidR="00F33184" w:rsidRPr="00BD3DDF">
        <w:rPr>
          <w:rFonts w:cs="Arial"/>
          <w:szCs w:val="24"/>
        </w:rPr>
        <w:t xml:space="preserve"> (URSIL)</w:t>
      </w:r>
      <w:r w:rsidRPr="00BD3DDF">
        <w:rPr>
          <w:rFonts w:cs="Arial"/>
          <w:szCs w:val="24"/>
        </w:rPr>
        <w:t xml:space="preserve"> z </w:t>
      </w:r>
      <w:r w:rsidR="00F33184" w:rsidRPr="00BD3DDF">
        <w:rPr>
          <w:rFonts w:cs="Arial"/>
          <w:szCs w:val="24"/>
        </w:rPr>
        <w:t>Uradom Evropske unije za intelektualno lastnino (EU</w:t>
      </w:r>
      <w:r w:rsidRPr="00BD3DDF">
        <w:rPr>
          <w:rFonts w:cs="Arial"/>
          <w:szCs w:val="24"/>
        </w:rPr>
        <w:t>IPO</w:t>
      </w:r>
      <w:r w:rsidR="00F33184" w:rsidRPr="00BD3DDF">
        <w:rPr>
          <w:rFonts w:cs="Arial"/>
          <w:szCs w:val="24"/>
        </w:rPr>
        <w:t>)</w:t>
      </w:r>
      <w:r w:rsidRPr="00BD3DDF">
        <w:rPr>
          <w:rFonts w:cs="Arial"/>
          <w:szCs w:val="24"/>
        </w:rPr>
        <w:t xml:space="preserve"> oziroma Evropskim opazovalnim uradom za boj proti kršitvam pravic intelektualne lastnine </w:t>
      </w:r>
      <w:r w:rsidR="00F513FD" w:rsidRPr="00BD3DDF">
        <w:rPr>
          <w:szCs w:val="24"/>
        </w:rPr>
        <w:t>(</w:t>
      </w:r>
      <w:proofErr w:type="spellStart"/>
      <w:r w:rsidR="00F513FD" w:rsidRPr="00BD3DDF">
        <w:rPr>
          <w:szCs w:val="24"/>
        </w:rPr>
        <w:t>European</w:t>
      </w:r>
      <w:proofErr w:type="spellEnd"/>
      <w:r w:rsidR="00F513FD" w:rsidRPr="00BD3DDF">
        <w:rPr>
          <w:szCs w:val="24"/>
        </w:rPr>
        <w:t xml:space="preserve"> </w:t>
      </w:r>
      <w:proofErr w:type="spellStart"/>
      <w:r w:rsidR="00F513FD" w:rsidRPr="00BD3DDF">
        <w:rPr>
          <w:szCs w:val="24"/>
        </w:rPr>
        <w:t>Observatory</w:t>
      </w:r>
      <w:proofErr w:type="spellEnd"/>
      <w:r w:rsidR="00F513FD" w:rsidRPr="00BD3DDF">
        <w:rPr>
          <w:szCs w:val="24"/>
        </w:rPr>
        <w:t xml:space="preserve"> on </w:t>
      </w:r>
      <w:proofErr w:type="spellStart"/>
      <w:r w:rsidR="00F513FD" w:rsidRPr="00BD3DDF">
        <w:rPr>
          <w:szCs w:val="24"/>
        </w:rPr>
        <w:t>Infringements</w:t>
      </w:r>
      <w:proofErr w:type="spellEnd"/>
      <w:r w:rsidR="00F513FD" w:rsidRPr="00BD3DDF">
        <w:rPr>
          <w:szCs w:val="24"/>
        </w:rPr>
        <w:t xml:space="preserve"> </w:t>
      </w:r>
      <w:proofErr w:type="spellStart"/>
      <w:r w:rsidR="00F513FD" w:rsidRPr="00BD3DDF">
        <w:rPr>
          <w:szCs w:val="24"/>
        </w:rPr>
        <w:t>of</w:t>
      </w:r>
      <w:proofErr w:type="spellEnd"/>
      <w:r w:rsidR="00F513FD" w:rsidRPr="00BD3DDF">
        <w:rPr>
          <w:szCs w:val="24"/>
        </w:rPr>
        <w:t xml:space="preserve"> </w:t>
      </w:r>
      <w:proofErr w:type="spellStart"/>
      <w:r w:rsidR="00F513FD" w:rsidRPr="00BD3DDF">
        <w:rPr>
          <w:szCs w:val="24"/>
        </w:rPr>
        <w:t>In</w:t>
      </w:r>
      <w:r w:rsidR="007C12B1">
        <w:rPr>
          <w:szCs w:val="24"/>
        </w:rPr>
        <w:t>tellectual</w:t>
      </w:r>
      <w:proofErr w:type="spellEnd"/>
      <w:r w:rsidR="007C12B1">
        <w:rPr>
          <w:szCs w:val="24"/>
        </w:rPr>
        <w:t xml:space="preserve"> </w:t>
      </w:r>
      <w:proofErr w:type="spellStart"/>
      <w:r w:rsidR="007C12B1">
        <w:rPr>
          <w:szCs w:val="24"/>
        </w:rPr>
        <w:t>Property</w:t>
      </w:r>
      <w:proofErr w:type="spellEnd"/>
      <w:r w:rsidR="007C12B1">
        <w:rPr>
          <w:szCs w:val="24"/>
        </w:rPr>
        <w:t xml:space="preserve"> </w:t>
      </w:r>
      <w:proofErr w:type="spellStart"/>
      <w:r w:rsidR="007C12B1">
        <w:rPr>
          <w:szCs w:val="24"/>
        </w:rPr>
        <w:t>Rights</w:t>
      </w:r>
      <w:proofErr w:type="spellEnd"/>
      <w:r w:rsidR="007C12B1">
        <w:rPr>
          <w:szCs w:val="24"/>
        </w:rPr>
        <w:t>),</w:t>
      </w:r>
      <w:r w:rsidRPr="00BD3DDF">
        <w:rPr>
          <w:rFonts w:cs="Arial"/>
          <w:szCs w:val="24"/>
        </w:rPr>
        <w:t xml:space="preserve"> ki je izdelavo analize in javno predstavitev tudi finančno podprl, pri projektu</w:t>
      </w:r>
      <w:r w:rsidRPr="00BD3DDF">
        <w:rPr>
          <w:rFonts w:cs="Arial"/>
          <w:b/>
          <w:bCs/>
          <w:szCs w:val="24"/>
        </w:rPr>
        <w:t xml:space="preserve"> </w:t>
      </w:r>
      <w:proofErr w:type="spellStart"/>
      <w:r w:rsidRPr="00BD3DDF">
        <w:rPr>
          <w:rFonts w:cs="Arial"/>
          <w:bCs/>
          <w:szCs w:val="24"/>
        </w:rPr>
        <w:t>Case</w:t>
      </w:r>
      <w:proofErr w:type="spellEnd"/>
      <w:r w:rsidRPr="00BD3DDF">
        <w:rPr>
          <w:rFonts w:cs="Arial"/>
          <w:bCs/>
          <w:szCs w:val="24"/>
        </w:rPr>
        <w:t xml:space="preserve"> </w:t>
      </w:r>
      <w:proofErr w:type="spellStart"/>
      <w:r w:rsidRPr="00BD3DDF">
        <w:rPr>
          <w:rFonts w:cs="Arial"/>
          <w:bCs/>
          <w:szCs w:val="24"/>
        </w:rPr>
        <w:t>Law</w:t>
      </w:r>
      <w:proofErr w:type="spellEnd"/>
      <w:r w:rsidRPr="00BD3DDF">
        <w:rPr>
          <w:rFonts w:cs="Arial"/>
          <w:bCs/>
          <w:szCs w:val="24"/>
        </w:rPr>
        <w:t>.</w:t>
      </w:r>
    </w:p>
    <w:p w:rsidR="00AA027C" w:rsidRPr="00BD3DDF" w:rsidRDefault="00AA027C" w:rsidP="00AA027C">
      <w:pPr>
        <w:rPr>
          <w:rFonts w:asciiTheme="majorHAnsi" w:hAnsiTheme="majorHAnsi" w:cs="Arial"/>
          <w:sz w:val="28"/>
          <w:szCs w:val="28"/>
        </w:rPr>
      </w:pPr>
    </w:p>
    <w:p w:rsidR="00DC1D74" w:rsidRPr="00BD3DDF" w:rsidRDefault="00DC1D74" w:rsidP="00AA027C">
      <w:pPr>
        <w:rPr>
          <w:rFonts w:ascii="Arial" w:hAnsi="Arial" w:cs="Arial"/>
          <w:sz w:val="28"/>
          <w:szCs w:val="28"/>
        </w:rPr>
        <w:sectPr w:rsidR="00DC1D74" w:rsidRPr="00BD3DDF" w:rsidSect="00837949">
          <w:headerReference w:type="default" r:id="rId10"/>
          <w:footerReference w:type="even" r:id="rId11"/>
          <w:footerReference w:type="default" r:id="rId12"/>
          <w:headerReference w:type="first" r:id="rId13"/>
          <w:footerReference w:type="first" r:id="rId14"/>
          <w:pgSz w:w="11900" w:h="16840"/>
          <w:pgMar w:top="1440" w:right="1440" w:bottom="1440" w:left="1440" w:header="708" w:footer="708" w:gutter="0"/>
          <w:pgNumType w:start="0"/>
          <w:cols w:space="708"/>
          <w:titlePg/>
          <w:docGrid w:linePitch="360"/>
        </w:sectPr>
      </w:pPr>
    </w:p>
    <w:p w:rsidR="00837949" w:rsidRPr="00BD3DDF" w:rsidRDefault="00837949" w:rsidP="008D3FDF">
      <w:pPr>
        <w:pStyle w:val="Naslov1"/>
        <w:numPr>
          <w:ilvl w:val="0"/>
          <w:numId w:val="0"/>
        </w:numPr>
        <w:spacing w:before="0"/>
      </w:pPr>
      <w:bookmarkStart w:id="1" w:name="_Toc169764587"/>
      <w:bookmarkStart w:id="2" w:name="_Toc227678346"/>
      <w:r w:rsidRPr="00BD3DDF">
        <w:lastRenderedPageBreak/>
        <w:t>Povzetek</w:t>
      </w:r>
      <w:bookmarkEnd w:id="1"/>
      <w:bookmarkEnd w:id="2"/>
    </w:p>
    <w:p w:rsidR="00D5564A" w:rsidRPr="00BD3DDF" w:rsidRDefault="00837949" w:rsidP="00181420">
      <w:pPr>
        <w:spacing w:after="0"/>
        <w:rPr>
          <w:szCs w:val="24"/>
        </w:rPr>
      </w:pPr>
      <w:r w:rsidRPr="00BD3DDF">
        <w:rPr>
          <w:szCs w:val="24"/>
        </w:rPr>
        <w:t>Pravo EU ureja pravice intelektualne lastnine v več direktivah</w:t>
      </w:r>
      <w:r w:rsidR="002F5D83" w:rsidRPr="00BD3DDF">
        <w:rPr>
          <w:szCs w:val="24"/>
        </w:rPr>
        <w:t xml:space="preserve"> in uredbah</w:t>
      </w:r>
      <w:r w:rsidRPr="00BD3DDF">
        <w:rPr>
          <w:szCs w:val="24"/>
        </w:rPr>
        <w:t>.</w:t>
      </w:r>
      <w:r w:rsidR="002D34BD" w:rsidRPr="00BD3DDF">
        <w:rPr>
          <w:szCs w:val="24"/>
        </w:rPr>
        <w:t xml:space="preserve"> </w:t>
      </w:r>
      <w:r w:rsidR="00AD5F0B" w:rsidRPr="00BD3DDF">
        <w:rPr>
          <w:szCs w:val="24"/>
        </w:rPr>
        <w:t xml:space="preserve">Na področju uveljavljanja pravic intelektualne lastnine je ključna </w:t>
      </w:r>
      <w:bookmarkStart w:id="3" w:name="_Hlk227530822"/>
      <w:r w:rsidR="00181420" w:rsidRPr="00BD3DDF">
        <w:rPr>
          <w:szCs w:val="24"/>
        </w:rPr>
        <w:t>Direktiva 2004/48/ES Evropskega parlamenta in Sveta z dne 29. aprila 2004 o uveljavljanju pravic intelektualne lastnine (</w:t>
      </w:r>
      <w:r w:rsidR="00AD5F0B" w:rsidRPr="00BD3DDF">
        <w:rPr>
          <w:szCs w:val="24"/>
        </w:rPr>
        <w:t>Direktiva 2004/48</w:t>
      </w:r>
      <w:r w:rsidR="00F33184" w:rsidRPr="00BD3DDF">
        <w:rPr>
          <w:szCs w:val="24"/>
        </w:rPr>
        <w:t>/ES</w:t>
      </w:r>
      <w:r w:rsidR="00AD5F0B" w:rsidRPr="00BD3DDF">
        <w:rPr>
          <w:szCs w:val="24"/>
        </w:rPr>
        <w:t>).</w:t>
      </w:r>
      <w:r w:rsidR="005265A3" w:rsidRPr="00BD3DDF">
        <w:rPr>
          <w:rStyle w:val="Sprotnaopomba-sklic"/>
          <w:szCs w:val="24"/>
        </w:rPr>
        <w:footnoteReference w:id="1"/>
      </w:r>
      <w:bookmarkEnd w:id="3"/>
      <w:r w:rsidR="00AD5F0B" w:rsidRPr="00BD3DDF">
        <w:rPr>
          <w:szCs w:val="24"/>
        </w:rPr>
        <w:t xml:space="preserve"> </w:t>
      </w:r>
      <w:r w:rsidRPr="00BD3DDF">
        <w:rPr>
          <w:szCs w:val="24"/>
        </w:rPr>
        <w:t>Namen direktiv je približat</w:t>
      </w:r>
      <w:r w:rsidR="002171D9" w:rsidRPr="00BD3DDF">
        <w:rPr>
          <w:szCs w:val="24"/>
        </w:rPr>
        <w:t>i</w:t>
      </w:r>
      <w:r w:rsidRPr="00BD3DDF">
        <w:rPr>
          <w:szCs w:val="24"/>
        </w:rPr>
        <w:t xml:space="preserve"> prav</w:t>
      </w:r>
      <w:r w:rsidR="0030102F" w:rsidRPr="00BD3DDF">
        <w:rPr>
          <w:szCs w:val="24"/>
        </w:rPr>
        <w:t xml:space="preserve">o </w:t>
      </w:r>
      <w:r w:rsidRPr="00BD3DDF">
        <w:rPr>
          <w:szCs w:val="24"/>
        </w:rPr>
        <w:t>držav člani</w:t>
      </w:r>
      <w:r w:rsidR="002171D9" w:rsidRPr="00BD3DDF">
        <w:rPr>
          <w:szCs w:val="24"/>
        </w:rPr>
        <w:t>c</w:t>
      </w:r>
      <w:r w:rsidRPr="00BD3DDF">
        <w:rPr>
          <w:szCs w:val="24"/>
        </w:rPr>
        <w:t xml:space="preserve"> na </w:t>
      </w:r>
      <w:r w:rsidR="002171D9" w:rsidRPr="00BD3DDF">
        <w:rPr>
          <w:szCs w:val="24"/>
        </w:rPr>
        <w:t xml:space="preserve">tem pravnem </w:t>
      </w:r>
      <w:r w:rsidRPr="00BD3DDF">
        <w:rPr>
          <w:szCs w:val="24"/>
        </w:rPr>
        <w:t>področju</w:t>
      </w:r>
      <w:r w:rsidR="00E07A9F" w:rsidRPr="00BD3DDF">
        <w:rPr>
          <w:szCs w:val="24"/>
        </w:rPr>
        <w:t xml:space="preserve">. </w:t>
      </w:r>
      <w:r w:rsidR="00214B00" w:rsidRPr="00BD3DDF">
        <w:rPr>
          <w:szCs w:val="24"/>
        </w:rPr>
        <w:t xml:space="preserve">Namen analize </w:t>
      </w:r>
      <w:r w:rsidR="00E07A9F" w:rsidRPr="00BD3DDF">
        <w:rPr>
          <w:szCs w:val="24"/>
        </w:rPr>
        <w:t xml:space="preserve">uveljavljanja pravic intelektualne lastnine v Republiki Sloveniji v obdobju od 1. januarja do 31. decembra 2025 </w:t>
      </w:r>
      <w:r w:rsidR="00214B00" w:rsidRPr="00BD3DDF">
        <w:rPr>
          <w:szCs w:val="24"/>
        </w:rPr>
        <w:t>je preveriti</w:t>
      </w:r>
      <w:r w:rsidR="00425033">
        <w:rPr>
          <w:szCs w:val="24"/>
        </w:rPr>
        <w:t xml:space="preserve"> </w:t>
      </w:r>
      <w:r w:rsidR="00425033" w:rsidRPr="00BD3DDF">
        <w:rPr>
          <w:szCs w:val="24"/>
        </w:rPr>
        <w:t>trende</w:t>
      </w:r>
      <w:r w:rsidR="00214B00" w:rsidRPr="00BD3DDF">
        <w:rPr>
          <w:szCs w:val="24"/>
        </w:rPr>
        <w:t xml:space="preserve">, kako slovenska sodišča razlagajo zakonske določbe, s katerimi so bile </w:t>
      </w:r>
      <w:r w:rsidR="00A813E5" w:rsidRPr="00BD3DDF">
        <w:rPr>
          <w:szCs w:val="24"/>
        </w:rPr>
        <w:t>implementirane</w:t>
      </w:r>
      <w:r w:rsidR="00214B00" w:rsidRPr="00BD3DDF">
        <w:rPr>
          <w:szCs w:val="24"/>
        </w:rPr>
        <w:t xml:space="preserve"> </w:t>
      </w:r>
      <w:r w:rsidR="00D5564A" w:rsidRPr="00BD3DDF">
        <w:rPr>
          <w:szCs w:val="24"/>
        </w:rPr>
        <w:t xml:space="preserve">evropske </w:t>
      </w:r>
      <w:r w:rsidR="00214B00" w:rsidRPr="00BD3DDF">
        <w:rPr>
          <w:szCs w:val="24"/>
        </w:rPr>
        <w:t>direktive</w:t>
      </w:r>
      <w:r w:rsidR="002171D9" w:rsidRPr="00BD3DDF">
        <w:rPr>
          <w:szCs w:val="24"/>
        </w:rPr>
        <w:t xml:space="preserve">. </w:t>
      </w:r>
    </w:p>
    <w:p w:rsidR="00DC1D74" w:rsidRPr="00BD3DDF" w:rsidRDefault="002171D9" w:rsidP="003D47D4">
      <w:pPr>
        <w:spacing w:after="0"/>
        <w:rPr>
          <w:szCs w:val="24"/>
        </w:rPr>
      </w:pPr>
      <w:r w:rsidRPr="00BD3DDF">
        <w:rPr>
          <w:szCs w:val="24"/>
        </w:rPr>
        <w:t xml:space="preserve">Analiza je sestavljena iz </w:t>
      </w:r>
      <w:r w:rsidR="0030102F" w:rsidRPr="00BD3DDF">
        <w:rPr>
          <w:szCs w:val="24"/>
        </w:rPr>
        <w:t>dveh</w:t>
      </w:r>
      <w:r w:rsidRPr="00BD3DDF">
        <w:rPr>
          <w:szCs w:val="24"/>
        </w:rPr>
        <w:t xml:space="preserve"> delov: </w:t>
      </w:r>
      <w:r w:rsidR="00563607" w:rsidRPr="00BD3DDF">
        <w:rPr>
          <w:szCs w:val="24"/>
        </w:rPr>
        <w:t xml:space="preserve">1) </w:t>
      </w:r>
      <w:r w:rsidR="00704F17" w:rsidRPr="00BD3DDF">
        <w:rPr>
          <w:szCs w:val="24"/>
        </w:rPr>
        <w:t xml:space="preserve">uvodnega dela s </w:t>
      </w:r>
      <w:r w:rsidRPr="00BD3DDF">
        <w:rPr>
          <w:szCs w:val="24"/>
        </w:rPr>
        <w:t>kvantitativn</w:t>
      </w:r>
      <w:r w:rsidR="00704F17" w:rsidRPr="00BD3DDF">
        <w:rPr>
          <w:szCs w:val="24"/>
        </w:rPr>
        <w:t>o</w:t>
      </w:r>
      <w:r w:rsidRPr="00BD3DDF">
        <w:rPr>
          <w:szCs w:val="24"/>
        </w:rPr>
        <w:t xml:space="preserve"> analiz</w:t>
      </w:r>
      <w:r w:rsidR="00704F17" w:rsidRPr="00BD3DDF">
        <w:rPr>
          <w:szCs w:val="24"/>
        </w:rPr>
        <w:t>o</w:t>
      </w:r>
      <w:r w:rsidRPr="00BD3DDF">
        <w:rPr>
          <w:szCs w:val="24"/>
        </w:rPr>
        <w:t>,</w:t>
      </w:r>
      <w:r w:rsidR="0030102F" w:rsidRPr="00BD3DDF">
        <w:rPr>
          <w:szCs w:val="24"/>
        </w:rPr>
        <w:t xml:space="preserve"> ter</w:t>
      </w:r>
      <w:r w:rsidRPr="00BD3DDF">
        <w:rPr>
          <w:szCs w:val="24"/>
        </w:rPr>
        <w:t xml:space="preserve"> </w:t>
      </w:r>
      <w:r w:rsidR="00563607" w:rsidRPr="00BD3DDF">
        <w:rPr>
          <w:szCs w:val="24"/>
        </w:rPr>
        <w:t xml:space="preserve">2) </w:t>
      </w:r>
      <w:r w:rsidR="0030102F" w:rsidRPr="00BD3DDF">
        <w:rPr>
          <w:szCs w:val="24"/>
        </w:rPr>
        <w:t xml:space="preserve">nabora </w:t>
      </w:r>
      <w:r w:rsidRPr="00BD3DDF">
        <w:rPr>
          <w:szCs w:val="24"/>
        </w:rPr>
        <w:t>povzetkov</w:t>
      </w:r>
      <w:r w:rsidR="0030102F" w:rsidRPr="00BD3DDF">
        <w:rPr>
          <w:szCs w:val="24"/>
        </w:rPr>
        <w:t xml:space="preserve"> ključnih</w:t>
      </w:r>
      <w:r w:rsidRPr="00BD3DDF">
        <w:rPr>
          <w:szCs w:val="24"/>
        </w:rPr>
        <w:t xml:space="preserve"> </w:t>
      </w:r>
      <w:r w:rsidR="00563607" w:rsidRPr="00BD3DDF">
        <w:rPr>
          <w:szCs w:val="24"/>
        </w:rPr>
        <w:t xml:space="preserve">sodnih odločb </w:t>
      </w:r>
      <w:r w:rsidR="0030102F" w:rsidRPr="00BD3DDF">
        <w:rPr>
          <w:szCs w:val="24"/>
        </w:rPr>
        <w:t xml:space="preserve">s komentarji. </w:t>
      </w:r>
      <w:r w:rsidR="00563607" w:rsidRPr="00BD3DDF">
        <w:rPr>
          <w:szCs w:val="24"/>
        </w:rPr>
        <w:t xml:space="preserve">V okviru kvantitativne analize </w:t>
      </w:r>
      <w:r w:rsidR="00601C20" w:rsidRPr="00BD3DDF">
        <w:rPr>
          <w:szCs w:val="24"/>
        </w:rPr>
        <w:t xml:space="preserve">sva avtorici </w:t>
      </w:r>
      <w:r w:rsidR="0030102F" w:rsidRPr="00BD3DDF">
        <w:rPr>
          <w:szCs w:val="24"/>
        </w:rPr>
        <w:t>pregleda</w:t>
      </w:r>
      <w:r w:rsidR="00601C20" w:rsidRPr="00BD3DDF">
        <w:rPr>
          <w:szCs w:val="24"/>
        </w:rPr>
        <w:t>li</w:t>
      </w:r>
      <w:r w:rsidR="00563607" w:rsidRPr="00BD3DDF">
        <w:rPr>
          <w:szCs w:val="24"/>
        </w:rPr>
        <w:t xml:space="preserve"> trend </w:t>
      </w:r>
      <w:r w:rsidR="00601C20" w:rsidRPr="00BD3DDF">
        <w:rPr>
          <w:szCs w:val="24"/>
        </w:rPr>
        <w:t>gibanja</w:t>
      </w:r>
      <w:r w:rsidR="00563607" w:rsidRPr="00BD3DDF">
        <w:rPr>
          <w:szCs w:val="24"/>
        </w:rPr>
        <w:t xml:space="preserve"> števila zadev s področja intelektualne lastnine, ki so jih obravnavala slovenska sodišča, v obdobju zadnjih desetih let.</w:t>
      </w:r>
      <w:r w:rsidR="007452A6" w:rsidRPr="00BD3DDF">
        <w:rPr>
          <w:szCs w:val="24"/>
        </w:rPr>
        <w:t xml:space="preserve"> </w:t>
      </w:r>
      <w:r w:rsidR="00BE186E" w:rsidRPr="00BD3DDF">
        <w:rPr>
          <w:szCs w:val="24"/>
        </w:rPr>
        <w:t>V drugem delu analize so</w:t>
      </w:r>
      <w:r w:rsidR="00A813E5" w:rsidRPr="00BD3DDF">
        <w:rPr>
          <w:szCs w:val="24"/>
        </w:rPr>
        <w:t xml:space="preserve"> ob upoštevanju relevantne nacionalne in EU zakonodaje</w:t>
      </w:r>
      <w:r w:rsidR="00BE186E" w:rsidRPr="00BD3DDF">
        <w:rPr>
          <w:szCs w:val="24"/>
        </w:rPr>
        <w:t xml:space="preserve"> predstavljeni povzetki </w:t>
      </w:r>
      <w:r w:rsidR="004D1D44" w:rsidRPr="00BD3DDF">
        <w:rPr>
          <w:szCs w:val="24"/>
        </w:rPr>
        <w:t xml:space="preserve">ključnih </w:t>
      </w:r>
      <w:r w:rsidR="00BE186E" w:rsidRPr="00BD3DDF">
        <w:rPr>
          <w:szCs w:val="24"/>
        </w:rPr>
        <w:t>sodnih odločb</w:t>
      </w:r>
      <w:r w:rsidR="004D1D44" w:rsidRPr="00BD3DDF">
        <w:rPr>
          <w:szCs w:val="24"/>
        </w:rPr>
        <w:t>. V posamezni zadevi</w:t>
      </w:r>
      <w:r w:rsidR="00BE186E" w:rsidRPr="00BD3DDF">
        <w:rPr>
          <w:szCs w:val="24"/>
        </w:rPr>
        <w:t xml:space="preserve"> </w:t>
      </w:r>
      <w:r w:rsidR="004D1D44" w:rsidRPr="00BD3DDF">
        <w:rPr>
          <w:szCs w:val="24"/>
        </w:rPr>
        <w:t>so predstavljena stališča</w:t>
      </w:r>
      <w:r w:rsidR="00BE186E" w:rsidRPr="00BD3DDF">
        <w:rPr>
          <w:szCs w:val="24"/>
        </w:rPr>
        <w:t xml:space="preserve"> sodišč na vseh stopnja</w:t>
      </w:r>
      <w:r w:rsidR="004D1D44" w:rsidRPr="00BD3DDF">
        <w:rPr>
          <w:szCs w:val="24"/>
        </w:rPr>
        <w:t>h</w:t>
      </w:r>
      <w:r w:rsidR="00BE186E" w:rsidRPr="00BD3DDF">
        <w:rPr>
          <w:szCs w:val="24"/>
        </w:rPr>
        <w:t xml:space="preserve">. </w:t>
      </w:r>
      <w:r w:rsidR="004D1D44" w:rsidRPr="00BD3DDF">
        <w:rPr>
          <w:szCs w:val="24"/>
        </w:rPr>
        <w:t>Namen komentarjev k posameznim sodnim odločbam je spodbuditi</w:t>
      </w:r>
      <w:r w:rsidR="00BE186E" w:rsidRPr="00BD3DDF">
        <w:rPr>
          <w:szCs w:val="24"/>
        </w:rPr>
        <w:t xml:space="preserve"> teoretično razpravo o interpretaciji zakonskih določb, ki jih je uporabilo sodišče v </w:t>
      </w:r>
      <w:r w:rsidR="00601C20" w:rsidRPr="00BD3DDF">
        <w:rPr>
          <w:szCs w:val="24"/>
        </w:rPr>
        <w:t>konkretni zadevi</w:t>
      </w:r>
      <w:r w:rsidR="004D1D44" w:rsidRPr="00BD3DDF">
        <w:rPr>
          <w:szCs w:val="24"/>
        </w:rPr>
        <w:t>.</w:t>
      </w:r>
    </w:p>
    <w:p w:rsidR="00AA027C" w:rsidRPr="00BD3DDF" w:rsidRDefault="00AA027C" w:rsidP="00DC1D74">
      <w:pPr>
        <w:spacing w:after="0"/>
        <w:rPr>
          <w:szCs w:val="24"/>
        </w:rPr>
      </w:pPr>
    </w:p>
    <w:p w:rsidR="00AA027C" w:rsidRPr="00BD3DDF" w:rsidRDefault="00AA027C" w:rsidP="00DC1D74">
      <w:pPr>
        <w:spacing w:after="0"/>
        <w:rPr>
          <w:szCs w:val="24"/>
        </w:rPr>
      </w:pPr>
    </w:p>
    <w:p w:rsidR="00AA027C" w:rsidRPr="00BD3DDF" w:rsidRDefault="00AA027C" w:rsidP="00DC1D74">
      <w:pPr>
        <w:spacing w:after="0"/>
        <w:rPr>
          <w:szCs w:val="24"/>
        </w:rPr>
      </w:pPr>
    </w:p>
    <w:p w:rsidR="00AA027C" w:rsidRPr="00BD3DDF" w:rsidRDefault="00AA027C" w:rsidP="00DC1D74">
      <w:pPr>
        <w:spacing w:after="0"/>
        <w:rPr>
          <w:szCs w:val="24"/>
        </w:rPr>
      </w:pPr>
    </w:p>
    <w:p w:rsidR="002D1859" w:rsidRPr="00BD3DDF" w:rsidRDefault="002D1859">
      <w:r w:rsidRPr="00BD3DDF">
        <w:br w:type="page"/>
      </w:r>
    </w:p>
    <w:p w:rsidR="003D47D4" w:rsidRPr="00BD3DDF" w:rsidRDefault="003D47D4" w:rsidP="008D3FDF">
      <w:pPr>
        <w:pStyle w:val="Naslov1"/>
        <w:numPr>
          <w:ilvl w:val="0"/>
          <w:numId w:val="0"/>
        </w:numPr>
        <w:spacing w:before="0"/>
      </w:pPr>
      <w:bookmarkStart w:id="4" w:name="_Toc227678347"/>
      <w:r w:rsidRPr="00BD3DDF">
        <w:lastRenderedPageBreak/>
        <w:t>Kazalo vsebine</w:t>
      </w:r>
      <w:bookmarkEnd w:id="4"/>
    </w:p>
    <w:sdt>
      <w:sdtPr>
        <w:id w:val="-73212958"/>
        <w:docPartObj>
          <w:docPartGallery w:val="Table of Contents"/>
          <w:docPartUnique/>
        </w:docPartObj>
      </w:sdtPr>
      <w:sdtEndPr>
        <w:rPr>
          <w:b/>
          <w:bCs/>
        </w:rPr>
      </w:sdtEndPr>
      <w:sdtContent>
        <w:p w:rsidR="003D47D4" w:rsidRPr="00BD3DDF" w:rsidRDefault="003D47D4" w:rsidP="003D47D4">
          <w:pPr>
            <w:rPr>
              <w:rStyle w:val="Naslov1Znak"/>
            </w:rPr>
          </w:pPr>
        </w:p>
        <w:p w:rsidR="00E41E7C" w:rsidRDefault="003D47D4">
          <w:pPr>
            <w:pStyle w:val="Kazalovsebine1"/>
            <w:tabs>
              <w:tab w:val="right" w:leader="dot" w:pos="9010"/>
            </w:tabs>
            <w:rPr>
              <w:b w:val="0"/>
              <w:bCs w:val="0"/>
              <w:i w:val="0"/>
              <w:iCs w:val="0"/>
              <w:noProof/>
              <w:kern w:val="2"/>
              <w:lang w:eastAsia="en-GB"/>
              <w14:ligatures w14:val="standardContextual"/>
            </w:rPr>
          </w:pPr>
          <w:r w:rsidRPr="00BD3DDF">
            <w:rPr>
              <w:b w:val="0"/>
              <w:bCs w:val="0"/>
              <w:i w:val="0"/>
              <w:iCs w:val="0"/>
            </w:rPr>
            <w:fldChar w:fldCharType="begin"/>
          </w:r>
          <w:r w:rsidRPr="00BD3DDF">
            <w:rPr>
              <w:b w:val="0"/>
              <w:bCs w:val="0"/>
              <w:i w:val="0"/>
              <w:iCs w:val="0"/>
            </w:rPr>
            <w:instrText xml:space="preserve"> TOC \o "1-4" \h \z \u </w:instrText>
          </w:r>
          <w:r w:rsidRPr="00BD3DDF">
            <w:rPr>
              <w:b w:val="0"/>
              <w:bCs w:val="0"/>
              <w:i w:val="0"/>
              <w:iCs w:val="0"/>
            </w:rPr>
            <w:fldChar w:fldCharType="separate"/>
          </w:r>
          <w:hyperlink w:anchor="_Toc227678346" w:history="1">
            <w:r w:rsidR="00E41E7C" w:rsidRPr="00396298">
              <w:rPr>
                <w:rStyle w:val="Hiperpovezava"/>
                <w:noProof/>
              </w:rPr>
              <w:t>Povzetek</w:t>
            </w:r>
            <w:r w:rsidR="00E41E7C">
              <w:rPr>
                <w:noProof/>
                <w:webHidden/>
              </w:rPr>
              <w:tab/>
            </w:r>
            <w:r w:rsidR="00E41E7C">
              <w:rPr>
                <w:noProof/>
                <w:webHidden/>
              </w:rPr>
              <w:fldChar w:fldCharType="begin"/>
            </w:r>
            <w:r w:rsidR="00E41E7C">
              <w:rPr>
                <w:noProof/>
                <w:webHidden/>
              </w:rPr>
              <w:instrText xml:space="preserve"> PAGEREF _Toc227678346 \h </w:instrText>
            </w:r>
            <w:r w:rsidR="00E41E7C">
              <w:rPr>
                <w:noProof/>
                <w:webHidden/>
              </w:rPr>
            </w:r>
            <w:r w:rsidR="00E41E7C">
              <w:rPr>
                <w:noProof/>
                <w:webHidden/>
              </w:rPr>
              <w:fldChar w:fldCharType="separate"/>
            </w:r>
            <w:r w:rsidR="00E41E7C">
              <w:rPr>
                <w:noProof/>
                <w:webHidden/>
              </w:rPr>
              <w:t>i</w:t>
            </w:r>
            <w:r w:rsidR="00E41E7C">
              <w:rPr>
                <w:noProof/>
                <w:webHidden/>
              </w:rPr>
              <w:fldChar w:fldCharType="end"/>
            </w:r>
          </w:hyperlink>
        </w:p>
        <w:p w:rsidR="00E41E7C" w:rsidRDefault="003E40DE">
          <w:pPr>
            <w:pStyle w:val="Kazalovsebine1"/>
            <w:tabs>
              <w:tab w:val="right" w:leader="dot" w:pos="9010"/>
            </w:tabs>
            <w:rPr>
              <w:b w:val="0"/>
              <w:bCs w:val="0"/>
              <w:i w:val="0"/>
              <w:iCs w:val="0"/>
              <w:noProof/>
              <w:kern w:val="2"/>
              <w:lang w:eastAsia="en-GB"/>
              <w14:ligatures w14:val="standardContextual"/>
            </w:rPr>
          </w:pPr>
          <w:hyperlink w:anchor="_Toc227678347" w:history="1">
            <w:r w:rsidR="00E41E7C" w:rsidRPr="00396298">
              <w:rPr>
                <w:rStyle w:val="Hiperpovezava"/>
                <w:noProof/>
              </w:rPr>
              <w:t>Kazalo vsebine</w:t>
            </w:r>
            <w:r w:rsidR="00E41E7C">
              <w:rPr>
                <w:noProof/>
                <w:webHidden/>
              </w:rPr>
              <w:tab/>
            </w:r>
            <w:r w:rsidR="00E41E7C">
              <w:rPr>
                <w:noProof/>
                <w:webHidden/>
              </w:rPr>
              <w:fldChar w:fldCharType="begin"/>
            </w:r>
            <w:r w:rsidR="00E41E7C">
              <w:rPr>
                <w:noProof/>
                <w:webHidden/>
              </w:rPr>
              <w:instrText xml:space="preserve"> PAGEREF _Toc227678347 \h </w:instrText>
            </w:r>
            <w:r w:rsidR="00E41E7C">
              <w:rPr>
                <w:noProof/>
                <w:webHidden/>
              </w:rPr>
            </w:r>
            <w:r w:rsidR="00E41E7C">
              <w:rPr>
                <w:noProof/>
                <w:webHidden/>
              </w:rPr>
              <w:fldChar w:fldCharType="separate"/>
            </w:r>
            <w:r w:rsidR="00E41E7C">
              <w:rPr>
                <w:noProof/>
                <w:webHidden/>
              </w:rPr>
              <w:t>ii</w:t>
            </w:r>
            <w:r w:rsidR="00E41E7C">
              <w:rPr>
                <w:noProof/>
                <w:webHidden/>
              </w:rPr>
              <w:fldChar w:fldCharType="end"/>
            </w:r>
          </w:hyperlink>
        </w:p>
        <w:p w:rsidR="00E41E7C" w:rsidRDefault="003E40DE">
          <w:pPr>
            <w:pStyle w:val="Kazalovsebine1"/>
            <w:tabs>
              <w:tab w:val="left" w:pos="400"/>
              <w:tab w:val="right" w:leader="dot" w:pos="9010"/>
            </w:tabs>
            <w:rPr>
              <w:b w:val="0"/>
              <w:bCs w:val="0"/>
              <w:i w:val="0"/>
              <w:iCs w:val="0"/>
              <w:noProof/>
              <w:kern w:val="2"/>
              <w:lang w:eastAsia="en-GB"/>
              <w14:ligatures w14:val="standardContextual"/>
            </w:rPr>
          </w:pPr>
          <w:hyperlink w:anchor="_Toc227678348" w:history="1">
            <w:r w:rsidR="00E41E7C" w:rsidRPr="00396298">
              <w:rPr>
                <w:rStyle w:val="Hiperpovezava"/>
                <w:noProof/>
              </w:rPr>
              <w:t>1</w:t>
            </w:r>
            <w:r w:rsidR="00E41E7C">
              <w:rPr>
                <w:b w:val="0"/>
                <w:bCs w:val="0"/>
                <w:i w:val="0"/>
                <w:iCs w:val="0"/>
                <w:noProof/>
                <w:kern w:val="2"/>
                <w:lang w:eastAsia="en-GB"/>
                <w14:ligatures w14:val="standardContextual"/>
              </w:rPr>
              <w:tab/>
            </w:r>
            <w:r w:rsidR="00E41E7C" w:rsidRPr="00396298">
              <w:rPr>
                <w:rStyle w:val="Hiperpovezava"/>
                <w:noProof/>
              </w:rPr>
              <w:t>Uvod - kvantitativna analiza</w:t>
            </w:r>
            <w:r w:rsidR="00E41E7C">
              <w:rPr>
                <w:noProof/>
                <w:webHidden/>
              </w:rPr>
              <w:tab/>
            </w:r>
            <w:r w:rsidR="00E41E7C">
              <w:rPr>
                <w:noProof/>
                <w:webHidden/>
              </w:rPr>
              <w:fldChar w:fldCharType="begin"/>
            </w:r>
            <w:r w:rsidR="00E41E7C">
              <w:rPr>
                <w:noProof/>
                <w:webHidden/>
              </w:rPr>
              <w:instrText xml:space="preserve"> PAGEREF _Toc227678348 \h </w:instrText>
            </w:r>
            <w:r w:rsidR="00E41E7C">
              <w:rPr>
                <w:noProof/>
                <w:webHidden/>
              </w:rPr>
            </w:r>
            <w:r w:rsidR="00E41E7C">
              <w:rPr>
                <w:noProof/>
                <w:webHidden/>
              </w:rPr>
              <w:fldChar w:fldCharType="separate"/>
            </w:r>
            <w:r w:rsidR="00E41E7C">
              <w:rPr>
                <w:noProof/>
                <w:webHidden/>
              </w:rPr>
              <w:t>1</w:t>
            </w:r>
            <w:r w:rsidR="00E41E7C">
              <w:rPr>
                <w:noProof/>
                <w:webHidden/>
              </w:rPr>
              <w:fldChar w:fldCharType="end"/>
            </w:r>
          </w:hyperlink>
        </w:p>
        <w:p w:rsidR="00E41E7C" w:rsidRDefault="003E40DE">
          <w:pPr>
            <w:pStyle w:val="Kazalovsebine2"/>
            <w:tabs>
              <w:tab w:val="left" w:pos="800"/>
              <w:tab w:val="right" w:leader="dot" w:pos="9010"/>
            </w:tabs>
            <w:rPr>
              <w:b w:val="0"/>
              <w:bCs w:val="0"/>
              <w:noProof/>
              <w:kern w:val="2"/>
              <w:sz w:val="24"/>
              <w:szCs w:val="24"/>
              <w:lang w:eastAsia="en-GB"/>
              <w14:ligatures w14:val="standardContextual"/>
            </w:rPr>
          </w:pPr>
          <w:hyperlink w:anchor="_Toc227678349" w:history="1">
            <w:r w:rsidR="00E41E7C" w:rsidRPr="00396298">
              <w:rPr>
                <w:rStyle w:val="Hiperpovezava"/>
                <w:noProof/>
              </w:rPr>
              <w:t>1.1</w:t>
            </w:r>
            <w:r w:rsidR="00E41E7C">
              <w:rPr>
                <w:b w:val="0"/>
                <w:bCs w:val="0"/>
                <w:noProof/>
                <w:kern w:val="2"/>
                <w:sz w:val="24"/>
                <w:szCs w:val="24"/>
                <w:lang w:eastAsia="en-GB"/>
                <w14:ligatures w14:val="standardContextual"/>
              </w:rPr>
              <w:tab/>
            </w:r>
            <w:r w:rsidR="00E41E7C" w:rsidRPr="00396298">
              <w:rPr>
                <w:rStyle w:val="Hiperpovezava"/>
                <w:noProof/>
              </w:rPr>
              <w:t>Projekt Case Law</w:t>
            </w:r>
            <w:r w:rsidR="00E41E7C">
              <w:rPr>
                <w:noProof/>
                <w:webHidden/>
              </w:rPr>
              <w:tab/>
            </w:r>
            <w:r w:rsidR="00E41E7C">
              <w:rPr>
                <w:noProof/>
                <w:webHidden/>
              </w:rPr>
              <w:fldChar w:fldCharType="begin"/>
            </w:r>
            <w:r w:rsidR="00E41E7C">
              <w:rPr>
                <w:noProof/>
                <w:webHidden/>
              </w:rPr>
              <w:instrText xml:space="preserve"> PAGEREF _Toc227678349 \h </w:instrText>
            </w:r>
            <w:r w:rsidR="00E41E7C">
              <w:rPr>
                <w:noProof/>
                <w:webHidden/>
              </w:rPr>
            </w:r>
            <w:r w:rsidR="00E41E7C">
              <w:rPr>
                <w:noProof/>
                <w:webHidden/>
              </w:rPr>
              <w:fldChar w:fldCharType="separate"/>
            </w:r>
            <w:r w:rsidR="00E41E7C">
              <w:rPr>
                <w:noProof/>
                <w:webHidden/>
              </w:rPr>
              <w:t>1</w:t>
            </w:r>
            <w:r w:rsidR="00E41E7C">
              <w:rPr>
                <w:noProof/>
                <w:webHidden/>
              </w:rPr>
              <w:fldChar w:fldCharType="end"/>
            </w:r>
          </w:hyperlink>
        </w:p>
        <w:p w:rsidR="00E41E7C" w:rsidRDefault="003E40DE">
          <w:pPr>
            <w:pStyle w:val="Kazalovsebine2"/>
            <w:tabs>
              <w:tab w:val="left" w:pos="800"/>
              <w:tab w:val="right" w:leader="dot" w:pos="9010"/>
            </w:tabs>
            <w:rPr>
              <w:b w:val="0"/>
              <w:bCs w:val="0"/>
              <w:noProof/>
              <w:kern w:val="2"/>
              <w:sz w:val="24"/>
              <w:szCs w:val="24"/>
              <w:lang w:eastAsia="en-GB"/>
              <w14:ligatures w14:val="standardContextual"/>
            </w:rPr>
          </w:pPr>
          <w:hyperlink w:anchor="_Toc227678350" w:history="1">
            <w:r w:rsidR="00E41E7C" w:rsidRPr="00396298">
              <w:rPr>
                <w:rStyle w:val="Hiperpovezava"/>
                <w:noProof/>
              </w:rPr>
              <w:t>1.2</w:t>
            </w:r>
            <w:r w:rsidR="00E41E7C">
              <w:rPr>
                <w:b w:val="0"/>
                <w:bCs w:val="0"/>
                <w:noProof/>
                <w:kern w:val="2"/>
                <w:sz w:val="24"/>
                <w:szCs w:val="24"/>
                <w:lang w:eastAsia="en-GB"/>
                <w14:ligatures w14:val="standardContextual"/>
              </w:rPr>
              <w:tab/>
            </w:r>
            <w:r w:rsidR="00E41E7C" w:rsidRPr="00396298">
              <w:rPr>
                <w:rStyle w:val="Hiperpovezava"/>
                <w:noProof/>
              </w:rPr>
              <w:t>Metodologija</w:t>
            </w:r>
            <w:r w:rsidR="00E41E7C">
              <w:rPr>
                <w:noProof/>
                <w:webHidden/>
              </w:rPr>
              <w:tab/>
            </w:r>
            <w:r w:rsidR="00E41E7C">
              <w:rPr>
                <w:noProof/>
                <w:webHidden/>
              </w:rPr>
              <w:fldChar w:fldCharType="begin"/>
            </w:r>
            <w:r w:rsidR="00E41E7C">
              <w:rPr>
                <w:noProof/>
                <w:webHidden/>
              </w:rPr>
              <w:instrText xml:space="preserve"> PAGEREF _Toc227678350 \h </w:instrText>
            </w:r>
            <w:r w:rsidR="00E41E7C">
              <w:rPr>
                <w:noProof/>
                <w:webHidden/>
              </w:rPr>
            </w:r>
            <w:r w:rsidR="00E41E7C">
              <w:rPr>
                <w:noProof/>
                <w:webHidden/>
              </w:rPr>
              <w:fldChar w:fldCharType="separate"/>
            </w:r>
            <w:r w:rsidR="00E41E7C">
              <w:rPr>
                <w:noProof/>
                <w:webHidden/>
              </w:rPr>
              <w:t>3</w:t>
            </w:r>
            <w:r w:rsidR="00E41E7C">
              <w:rPr>
                <w:noProof/>
                <w:webHidden/>
              </w:rPr>
              <w:fldChar w:fldCharType="end"/>
            </w:r>
          </w:hyperlink>
        </w:p>
        <w:p w:rsidR="00E41E7C" w:rsidRDefault="003E40DE">
          <w:pPr>
            <w:pStyle w:val="Kazalovsebine2"/>
            <w:tabs>
              <w:tab w:val="left" w:pos="800"/>
              <w:tab w:val="right" w:leader="dot" w:pos="9010"/>
            </w:tabs>
            <w:rPr>
              <w:b w:val="0"/>
              <w:bCs w:val="0"/>
              <w:noProof/>
              <w:kern w:val="2"/>
              <w:sz w:val="24"/>
              <w:szCs w:val="24"/>
              <w:lang w:eastAsia="en-GB"/>
              <w14:ligatures w14:val="standardContextual"/>
            </w:rPr>
          </w:pPr>
          <w:hyperlink w:anchor="_Toc227678351" w:history="1">
            <w:r w:rsidR="00E41E7C" w:rsidRPr="00396298">
              <w:rPr>
                <w:rStyle w:val="Hiperpovezava"/>
                <w:noProof/>
              </w:rPr>
              <w:t>1.3</w:t>
            </w:r>
            <w:r w:rsidR="00E41E7C">
              <w:rPr>
                <w:b w:val="0"/>
                <w:bCs w:val="0"/>
                <w:noProof/>
                <w:kern w:val="2"/>
                <w:sz w:val="24"/>
                <w:szCs w:val="24"/>
                <w:lang w:eastAsia="en-GB"/>
                <w14:ligatures w14:val="standardContextual"/>
              </w:rPr>
              <w:tab/>
            </w:r>
            <w:r w:rsidR="00E41E7C" w:rsidRPr="00396298">
              <w:rPr>
                <w:rStyle w:val="Hiperpovezava"/>
                <w:noProof/>
              </w:rPr>
              <w:t>Število pregledanih in izbranih odločitev</w:t>
            </w:r>
            <w:r w:rsidR="00E41E7C">
              <w:rPr>
                <w:noProof/>
                <w:webHidden/>
              </w:rPr>
              <w:tab/>
            </w:r>
            <w:r w:rsidR="00E41E7C">
              <w:rPr>
                <w:noProof/>
                <w:webHidden/>
              </w:rPr>
              <w:fldChar w:fldCharType="begin"/>
            </w:r>
            <w:r w:rsidR="00E41E7C">
              <w:rPr>
                <w:noProof/>
                <w:webHidden/>
              </w:rPr>
              <w:instrText xml:space="preserve"> PAGEREF _Toc227678351 \h </w:instrText>
            </w:r>
            <w:r w:rsidR="00E41E7C">
              <w:rPr>
                <w:noProof/>
                <w:webHidden/>
              </w:rPr>
            </w:r>
            <w:r w:rsidR="00E41E7C">
              <w:rPr>
                <w:noProof/>
                <w:webHidden/>
              </w:rPr>
              <w:fldChar w:fldCharType="separate"/>
            </w:r>
            <w:r w:rsidR="00E41E7C">
              <w:rPr>
                <w:noProof/>
                <w:webHidden/>
              </w:rPr>
              <w:t>5</w:t>
            </w:r>
            <w:r w:rsidR="00E41E7C">
              <w:rPr>
                <w:noProof/>
                <w:webHidden/>
              </w:rPr>
              <w:fldChar w:fldCharType="end"/>
            </w:r>
          </w:hyperlink>
        </w:p>
        <w:p w:rsidR="00E41E7C" w:rsidRDefault="003E40DE">
          <w:pPr>
            <w:pStyle w:val="Kazalovsebine1"/>
            <w:tabs>
              <w:tab w:val="left" w:pos="400"/>
              <w:tab w:val="right" w:leader="dot" w:pos="9010"/>
            </w:tabs>
            <w:rPr>
              <w:b w:val="0"/>
              <w:bCs w:val="0"/>
              <w:i w:val="0"/>
              <w:iCs w:val="0"/>
              <w:noProof/>
              <w:kern w:val="2"/>
              <w:lang w:eastAsia="en-GB"/>
              <w14:ligatures w14:val="standardContextual"/>
            </w:rPr>
          </w:pPr>
          <w:hyperlink w:anchor="_Toc227678352" w:history="1">
            <w:r w:rsidR="00E41E7C" w:rsidRPr="00396298">
              <w:rPr>
                <w:rStyle w:val="Hiperpovezava"/>
                <w:noProof/>
              </w:rPr>
              <w:t>2</w:t>
            </w:r>
            <w:r w:rsidR="00E41E7C">
              <w:rPr>
                <w:b w:val="0"/>
                <w:bCs w:val="0"/>
                <w:i w:val="0"/>
                <w:iCs w:val="0"/>
                <w:noProof/>
                <w:kern w:val="2"/>
                <w:lang w:eastAsia="en-GB"/>
                <w14:ligatures w14:val="standardContextual"/>
              </w:rPr>
              <w:tab/>
            </w:r>
            <w:r w:rsidR="00E41E7C" w:rsidRPr="00396298">
              <w:rPr>
                <w:rStyle w:val="Hiperpovezava"/>
                <w:noProof/>
              </w:rPr>
              <w:t>Analiza ključnih sodnih odločb</w:t>
            </w:r>
            <w:r w:rsidR="00E41E7C">
              <w:rPr>
                <w:noProof/>
                <w:webHidden/>
              </w:rPr>
              <w:tab/>
            </w:r>
            <w:r w:rsidR="00E41E7C">
              <w:rPr>
                <w:noProof/>
                <w:webHidden/>
              </w:rPr>
              <w:fldChar w:fldCharType="begin"/>
            </w:r>
            <w:r w:rsidR="00E41E7C">
              <w:rPr>
                <w:noProof/>
                <w:webHidden/>
              </w:rPr>
              <w:instrText xml:space="preserve"> PAGEREF _Toc227678352 \h </w:instrText>
            </w:r>
            <w:r w:rsidR="00E41E7C">
              <w:rPr>
                <w:noProof/>
                <w:webHidden/>
              </w:rPr>
            </w:r>
            <w:r w:rsidR="00E41E7C">
              <w:rPr>
                <w:noProof/>
                <w:webHidden/>
              </w:rPr>
              <w:fldChar w:fldCharType="separate"/>
            </w:r>
            <w:r w:rsidR="00E41E7C">
              <w:rPr>
                <w:noProof/>
                <w:webHidden/>
              </w:rPr>
              <w:t>6</w:t>
            </w:r>
            <w:r w:rsidR="00E41E7C">
              <w:rPr>
                <w:noProof/>
                <w:webHidden/>
              </w:rPr>
              <w:fldChar w:fldCharType="end"/>
            </w:r>
          </w:hyperlink>
        </w:p>
        <w:p w:rsidR="00E41E7C" w:rsidRDefault="003E40DE">
          <w:pPr>
            <w:pStyle w:val="Kazalovsebine2"/>
            <w:tabs>
              <w:tab w:val="left" w:pos="800"/>
              <w:tab w:val="right" w:leader="dot" w:pos="9010"/>
            </w:tabs>
            <w:rPr>
              <w:b w:val="0"/>
              <w:bCs w:val="0"/>
              <w:noProof/>
              <w:kern w:val="2"/>
              <w:sz w:val="24"/>
              <w:szCs w:val="24"/>
              <w:lang w:eastAsia="en-GB"/>
              <w14:ligatures w14:val="standardContextual"/>
            </w:rPr>
          </w:pPr>
          <w:hyperlink w:anchor="_Toc227678353" w:history="1">
            <w:r w:rsidR="00E41E7C" w:rsidRPr="00396298">
              <w:rPr>
                <w:rStyle w:val="Hiperpovezava"/>
                <w:noProof/>
              </w:rPr>
              <w:t>2.1</w:t>
            </w:r>
            <w:r w:rsidR="00E41E7C">
              <w:rPr>
                <w:b w:val="0"/>
                <w:bCs w:val="0"/>
                <w:noProof/>
                <w:kern w:val="2"/>
                <w:sz w:val="24"/>
                <w:szCs w:val="24"/>
                <w:lang w:eastAsia="en-GB"/>
                <w14:ligatures w14:val="standardContextual"/>
              </w:rPr>
              <w:tab/>
            </w:r>
            <w:r w:rsidR="00E41E7C" w:rsidRPr="00396298">
              <w:rPr>
                <w:rStyle w:val="Hiperpovezava"/>
                <w:noProof/>
              </w:rPr>
              <w:t>Industrijska lastnina</w:t>
            </w:r>
            <w:r w:rsidR="00E41E7C">
              <w:rPr>
                <w:noProof/>
                <w:webHidden/>
              </w:rPr>
              <w:tab/>
            </w:r>
            <w:r w:rsidR="00E41E7C">
              <w:rPr>
                <w:noProof/>
                <w:webHidden/>
              </w:rPr>
              <w:fldChar w:fldCharType="begin"/>
            </w:r>
            <w:r w:rsidR="00E41E7C">
              <w:rPr>
                <w:noProof/>
                <w:webHidden/>
              </w:rPr>
              <w:instrText xml:space="preserve"> PAGEREF _Toc227678353 \h </w:instrText>
            </w:r>
            <w:r w:rsidR="00E41E7C">
              <w:rPr>
                <w:noProof/>
                <w:webHidden/>
              </w:rPr>
            </w:r>
            <w:r w:rsidR="00E41E7C">
              <w:rPr>
                <w:noProof/>
                <w:webHidden/>
              </w:rPr>
              <w:fldChar w:fldCharType="separate"/>
            </w:r>
            <w:r w:rsidR="00E41E7C">
              <w:rPr>
                <w:noProof/>
                <w:webHidden/>
              </w:rPr>
              <w:t>6</w:t>
            </w:r>
            <w:r w:rsidR="00E41E7C">
              <w:rPr>
                <w:noProof/>
                <w:webHidden/>
              </w:rPr>
              <w:fldChar w:fldCharType="end"/>
            </w:r>
          </w:hyperlink>
        </w:p>
        <w:p w:rsidR="00E41E7C" w:rsidRDefault="003E40DE">
          <w:pPr>
            <w:pStyle w:val="Kazalovsebine3"/>
            <w:tabs>
              <w:tab w:val="left" w:pos="1200"/>
              <w:tab w:val="right" w:leader="dot" w:pos="9010"/>
            </w:tabs>
            <w:rPr>
              <w:noProof/>
              <w:kern w:val="2"/>
              <w:szCs w:val="24"/>
              <w:lang w:eastAsia="en-GB"/>
              <w14:ligatures w14:val="standardContextual"/>
            </w:rPr>
          </w:pPr>
          <w:hyperlink w:anchor="_Toc227678354" w:history="1">
            <w:r w:rsidR="00E41E7C" w:rsidRPr="00396298">
              <w:rPr>
                <w:rStyle w:val="Hiperpovezava"/>
                <w:noProof/>
              </w:rPr>
              <w:t>2.1.1</w:t>
            </w:r>
            <w:r w:rsidR="00E41E7C">
              <w:rPr>
                <w:noProof/>
                <w:kern w:val="2"/>
                <w:szCs w:val="24"/>
                <w:lang w:eastAsia="en-GB"/>
                <w14:ligatures w14:val="standardContextual"/>
              </w:rPr>
              <w:tab/>
            </w:r>
            <w:r w:rsidR="00E41E7C" w:rsidRPr="00396298">
              <w:rPr>
                <w:rStyle w:val="Hiperpovezava"/>
                <w:noProof/>
              </w:rPr>
              <w:t>Znamka</w:t>
            </w:r>
            <w:r w:rsidR="00E41E7C">
              <w:rPr>
                <w:noProof/>
                <w:webHidden/>
              </w:rPr>
              <w:tab/>
            </w:r>
            <w:r w:rsidR="00E41E7C">
              <w:rPr>
                <w:noProof/>
                <w:webHidden/>
              </w:rPr>
              <w:fldChar w:fldCharType="begin"/>
            </w:r>
            <w:r w:rsidR="00E41E7C">
              <w:rPr>
                <w:noProof/>
                <w:webHidden/>
              </w:rPr>
              <w:instrText xml:space="preserve"> PAGEREF _Toc227678354 \h </w:instrText>
            </w:r>
            <w:r w:rsidR="00E41E7C">
              <w:rPr>
                <w:noProof/>
                <w:webHidden/>
              </w:rPr>
            </w:r>
            <w:r w:rsidR="00E41E7C">
              <w:rPr>
                <w:noProof/>
                <w:webHidden/>
              </w:rPr>
              <w:fldChar w:fldCharType="separate"/>
            </w:r>
            <w:r w:rsidR="00E41E7C">
              <w:rPr>
                <w:noProof/>
                <w:webHidden/>
              </w:rPr>
              <w:t>6</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55" w:history="1">
            <w:r w:rsidR="00E41E7C" w:rsidRPr="00396298">
              <w:rPr>
                <w:rStyle w:val="Hiperpovezava"/>
                <w:noProof/>
                <w14:scene3d>
                  <w14:camera w14:prst="orthographicFront"/>
                  <w14:lightRig w14:rig="threePt" w14:dir="t">
                    <w14:rot w14:lat="0" w14:lon="0" w14:rev="0"/>
                  </w14:lightRig>
                </w14:scene3d>
              </w:rPr>
              <w:t>2.1.1.1</w:t>
            </w:r>
            <w:r w:rsidR="00E41E7C">
              <w:rPr>
                <w:noProof/>
                <w:kern w:val="2"/>
                <w:szCs w:val="24"/>
                <w:lang w:eastAsia="en-GB"/>
                <w14:ligatures w14:val="standardContextual"/>
              </w:rPr>
              <w:tab/>
            </w:r>
            <w:r w:rsidR="00E41E7C" w:rsidRPr="00396298">
              <w:rPr>
                <w:rStyle w:val="Hiperpovezava"/>
                <w:noProof/>
              </w:rPr>
              <w:t>VSL Sklep V Cpg 304/2024 z dne 1. aprila 2025</w:t>
            </w:r>
            <w:r w:rsidR="00E41E7C">
              <w:rPr>
                <w:noProof/>
                <w:webHidden/>
              </w:rPr>
              <w:tab/>
            </w:r>
            <w:r w:rsidR="00E41E7C">
              <w:rPr>
                <w:noProof/>
                <w:webHidden/>
              </w:rPr>
              <w:fldChar w:fldCharType="begin"/>
            </w:r>
            <w:r w:rsidR="00E41E7C">
              <w:rPr>
                <w:noProof/>
                <w:webHidden/>
              </w:rPr>
              <w:instrText xml:space="preserve"> PAGEREF _Toc227678355 \h </w:instrText>
            </w:r>
            <w:r w:rsidR="00E41E7C">
              <w:rPr>
                <w:noProof/>
                <w:webHidden/>
              </w:rPr>
            </w:r>
            <w:r w:rsidR="00E41E7C">
              <w:rPr>
                <w:noProof/>
                <w:webHidden/>
              </w:rPr>
              <w:fldChar w:fldCharType="separate"/>
            </w:r>
            <w:r w:rsidR="00E41E7C">
              <w:rPr>
                <w:noProof/>
                <w:webHidden/>
              </w:rPr>
              <w:t>6</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56" w:history="1">
            <w:r w:rsidR="00E41E7C" w:rsidRPr="00396298">
              <w:rPr>
                <w:rStyle w:val="Hiperpovezava"/>
                <w:noProof/>
                <w14:scene3d>
                  <w14:camera w14:prst="orthographicFront"/>
                  <w14:lightRig w14:rig="threePt" w14:dir="t">
                    <w14:rot w14:lat="0" w14:lon="0" w14:rev="0"/>
                  </w14:lightRig>
                </w14:scene3d>
              </w:rPr>
              <w:t>2.1.1.2</w:t>
            </w:r>
            <w:r w:rsidR="00E41E7C">
              <w:rPr>
                <w:noProof/>
                <w:kern w:val="2"/>
                <w:szCs w:val="24"/>
                <w:lang w:eastAsia="en-GB"/>
                <w14:ligatures w14:val="standardContextual"/>
              </w:rPr>
              <w:tab/>
            </w:r>
            <w:r w:rsidR="00E41E7C" w:rsidRPr="00396298">
              <w:rPr>
                <w:rStyle w:val="Hiperpovezava"/>
                <w:noProof/>
              </w:rPr>
              <w:t>VSL Sklep V Cpg 75/2025 z dne 1. aprila 2025</w:t>
            </w:r>
            <w:r w:rsidR="00E41E7C">
              <w:rPr>
                <w:noProof/>
                <w:webHidden/>
              </w:rPr>
              <w:tab/>
            </w:r>
            <w:r w:rsidR="00E41E7C">
              <w:rPr>
                <w:noProof/>
                <w:webHidden/>
              </w:rPr>
              <w:fldChar w:fldCharType="begin"/>
            </w:r>
            <w:r w:rsidR="00E41E7C">
              <w:rPr>
                <w:noProof/>
                <w:webHidden/>
              </w:rPr>
              <w:instrText xml:space="preserve"> PAGEREF _Toc227678356 \h </w:instrText>
            </w:r>
            <w:r w:rsidR="00E41E7C">
              <w:rPr>
                <w:noProof/>
                <w:webHidden/>
              </w:rPr>
            </w:r>
            <w:r w:rsidR="00E41E7C">
              <w:rPr>
                <w:noProof/>
                <w:webHidden/>
              </w:rPr>
              <w:fldChar w:fldCharType="separate"/>
            </w:r>
            <w:r w:rsidR="00E41E7C">
              <w:rPr>
                <w:noProof/>
                <w:webHidden/>
              </w:rPr>
              <w:t>9</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57" w:history="1">
            <w:r w:rsidR="00E41E7C" w:rsidRPr="00396298">
              <w:rPr>
                <w:rStyle w:val="Hiperpovezava"/>
                <w:noProof/>
                <w14:scene3d>
                  <w14:camera w14:prst="orthographicFront"/>
                  <w14:lightRig w14:rig="threePt" w14:dir="t">
                    <w14:rot w14:lat="0" w14:lon="0" w14:rev="0"/>
                  </w14:lightRig>
                </w14:scene3d>
              </w:rPr>
              <w:t>2.1.1.3</w:t>
            </w:r>
            <w:r w:rsidR="00E41E7C">
              <w:rPr>
                <w:noProof/>
                <w:kern w:val="2"/>
                <w:szCs w:val="24"/>
                <w:lang w:eastAsia="en-GB"/>
                <w14:ligatures w14:val="standardContextual"/>
              </w:rPr>
              <w:tab/>
            </w:r>
            <w:r w:rsidR="00E41E7C" w:rsidRPr="00396298">
              <w:rPr>
                <w:rStyle w:val="Hiperpovezava"/>
                <w:noProof/>
              </w:rPr>
              <w:t>VSL Sodba V Cpg 505/2024 z dne 16. oktobra 2025</w:t>
            </w:r>
            <w:r w:rsidR="00E41E7C">
              <w:rPr>
                <w:noProof/>
                <w:webHidden/>
              </w:rPr>
              <w:tab/>
            </w:r>
            <w:r w:rsidR="00E41E7C">
              <w:rPr>
                <w:noProof/>
                <w:webHidden/>
              </w:rPr>
              <w:fldChar w:fldCharType="begin"/>
            </w:r>
            <w:r w:rsidR="00E41E7C">
              <w:rPr>
                <w:noProof/>
                <w:webHidden/>
              </w:rPr>
              <w:instrText xml:space="preserve"> PAGEREF _Toc227678357 \h </w:instrText>
            </w:r>
            <w:r w:rsidR="00E41E7C">
              <w:rPr>
                <w:noProof/>
                <w:webHidden/>
              </w:rPr>
            </w:r>
            <w:r w:rsidR="00E41E7C">
              <w:rPr>
                <w:noProof/>
                <w:webHidden/>
              </w:rPr>
              <w:fldChar w:fldCharType="separate"/>
            </w:r>
            <w:r w:rsidR="00E41E7C">
              <w:rPr>
                <w:noProof/>
                <w:webHidden/>
              </w:rPr>
              <w:t>12</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58" w:history="1">
            <w:r w:rsidR="00E41E7C" w:rsidRPr="00396298">
              <w:rPr>
                <w:rStyle w:val="Hiperpovezava"/>
                <w:noProof/>
                <w14:scene3d>
                  <w14:camera w14:prst="orthographicFront"/>
                  <w14:lightRig w14:rig="threePt" w14:dir="t">
                    <w14:rot w14:lat="0" w14:lon="0" w14:rev="0"/>
                  </w14:lightRig>
                </w14:scene3d>
              </w:rPr>
              <w:t>2.1.1.4</w:t>
            </w:r>
            <w:r w:rsidR="00E41E7C">
              <w:rPr>
                <w:noProof/>
                <w:kern w:val="2"/>
                <w:szCs w:val="24"/>
                <w:lang w:eastAsia="en-GB"/>
                <w14:ligatures w14:val="standardContextual"/>
              </w:rPr>
              <w:tab/>
            </w:r>
            <w:r w:rsidR="00E41E7C" w:rsidRPr="00396298">
              <w:rPr>
                <w:rStyle w:val="Hiperpovezava"/>
                <w:noProof/>
              </w:rPr>
              <w:t>VSL Sodba V Cpg 119/2024 z dne 14. maja 2025</w:t>
            </w:r>
            <w:r w:rsidR="00E41E7C">
              <w:rPr>
                <w:noProof/>
                <w:webHidden/>
              </w:rPr>
              <w:tab/>
            </w:r>
            <w:r w:rsidR="00E41E7C">
              <w:rPr>
                <w:noProof/>
                <w:webHidden/>
              </w:rPr>
              <w:fldChar w:fldCharType="begin"/>
            </w:r>
            <w:r w:rsidR="00E41E7C">
              <w:rPr>
                <w:noProof/>
                <w:webHidden/>
              </w:rPr>
              <w:instrText xml:space="preserve"> PAGEREF _Toc227678358 \h </w:instrText>
            </w:r>
            <w:r w:rsidR="00E41E7C">
              <w:rPr>
                <w:noProof/>
                <w:webHidden/>
              </w:rPr>
            </w:r>
            <w:r w:rsidR="00E41E7C">
              <w:rPr>
                <w:noProof/>
                <w:webHidden/>
              </w:rPr>
              <w:fldChar w:fldCharType="separate"/>
            </w:r>
            <w:r w:rsidR="00E41E7C">
              <w:rPr>
                <w:noProof/>
                <w:webHidden/>
              </w:rPr>
              <w:t>14</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59" w:history="1">
            <w:r w:rsidR="00E41E7C" w:rsidRPr="00396298">
              <w:rPr>
                <w:rStyle w:val="Hiperpovezava"/>
                <w:noProof/>
                <w14:scene3d>
                  <w14:camera w14:prst="orthographicFront"/>
                  <w14:lightRig w14:rig="threePt" w14:dir="t">
                    <w14:rot w14:lat="0" w14:lon="0" w14:rev="0"/>
                  </w14:lightRig>
                </w14:scene3d>
              </w:rPr>
              <w:t>2.1.1.5</w:t>
            </w:r>
            <w:r w:rsidR="00E41E7C">
              <w:rPr>
                <w:noProof/>
                <w:kern w:val="2"/>
                <w:szCs w:val="24"/>
                <w:lang w:eastAsia="en-GB"/>
                <w14:ligatures w14:val="standardContextual"/>
              </w:rPr>
              <w:tab/>
            </w:r>
            <w:r w:rsidR="00E41E7C" w:rsidRPr="00396298">
              <w:rPr>
                <w:rStyle w:val="Hiperpovezava"/>
                <w:noProof/>
              </w:rPr>
              <w:t>VSL Sodba V Cpg 481/2024 z dne 14. maja 2025</w:t>
            </w:r>
            <w:r w:rsidR="00E41E7C">
              <w:rPr>
                <w:noProof/>
                <w:webHidden/>
              </w:rPr>
              <w:tab/>
            </w:r>
            <w:r w:rsidR="00E41E7C">
              <w:rPr>
                <w:noProof/>
                <w:webHidden/>
              </w:rPr>
              <w:fldChar w:fldCharType="begin"/>
            </w:r>
            <w:r w:rsidR="00E41E7C">
              <w:rPr>
                <w:noProof/>
                <w:webHidden/>
              </w:rPr>
              <w:instrText xml:space="preserve"> PAGEREF _Toc227678359 \h </w:instrText>
            </w:r>
            <w:r w:rsidR="00E41E7C">
              <w:rPr>
                <w:noProof/>
                <w:webHidden/>
              </w:rPr>
            </w:r>
            <w:r w:rsidR="00E41E7C">
              <w:rPr>
                <w:noProof/>
                <w:webHidden/>
              </w:rPr>
              <w:fldChar w:fldCharType="separate"/>
            </w:r>
            <w:r w:rsidR="00E41E7C">
              <w:rPr>
                <w:noProof/>
                <w:webHidden/>
              </w:rPr>
              <w:t>17</w:t>
            </w:r>
            <w:r w:rsidR="00E41E7C">
              <w:rPr>
                <w:noProof/>
                <w:webHidden/>
              </w:rPr>
              <w:fldChar w:fldCharType="end"/>
            </w:r>
          </w:hyperlink>
        </w:p>
        <w:p w:rsidR="00E41E7C" w:rsidRDefault="003E40DE">
          <w:pPr>
            <w:pStyle w:val="Kazalovsebine3"/>
            <w:tabs>
              <w:tab w:val="left" w:pos="1200"/>
              <w:tab w:val="right" w:leader="dot" w:pos="9010"/>
            </w:tabs>
            <w:rPr>
              <w:noProof/>
              <w:kern w:val="2"/>
              <w:szCs w:val="24"/>
              <w:lang w:eastAsia="en-GB"/>
              <w14:ligatures w14:val="standardContextual"/>
            </w:rPr>
          </w:pPr>
          <w:hyperlink w:anchor="_Toc227678360" w:history="1">
            <w:r w:rsidR="00E41E7C" w:rsidRPr="00396298">
              <w:rPr>
                <w:rStyle w:val="Hiperpovezava"/>
                <w:noProof/>
              </w:rPr>
              <w:t>2.1.2</w:t>
            </w:r>
            <w:r w:rsidR="00E41E7C">
              <w:rPr>
                <w:noProof/>
                <w:kern w:val="2"/>
                <w:szCs w:val="24"/>
                <w:lang w:eastAsia="en-GB"/>
                <w14:ligatures w14:val="standardContextual"/>
              </w:rPr>
              <w:tab/>
            </w:r>
            <w:r w:rsidR="00E41E7C" w:rsidRPr="00396298">
              <w:rPr>
                <w:rStyle w:val="Hiperpovezava"/>
                <w:noProof/>
              </w:rPr>
              <w:t>Patent</w:t>
            </w:r>
            <w:r w:rsidR="00E41E7C">
              <w:rPr>
                <w:noProof/>
                <w:webHidden/>
              </w:rPr>
              <w:tab/>
            </w:r>
            <w:r w:rsidR="00E41E7C">
              <w:rPr>
                <w:noProof/>
                <w:webHidden/>
              </w:rPr>
              <w:fldChar w:fldCharType="begin"/>
            </w:r>
            <w:r w:rsidR="00E41E7C">
              <w:rPr>
                <w:noProof/>
                <w:webHidden/>
              </w:rPr>
              <w:instrText xml:space="preserve"> PAGEREF _Toc227678360 \h </w:instrText>
            </w:r>
            <w:r w:rsidR="00E41E7C">
              <w:rPr>
                <w:noProof/>
                <w:webHidden/>
              </w:rPr>
            </w:r>
            <w:r w:rsidR="00E41E7C">
              <w:rPr>
                <w:noProof/>
                <w:webHidden/>
              </w:rPr>
              <w:fldChar w:fldCharType="separate"/>
            </w:r>
            <w:r w:rsidR="00E41E7C">
              <w:rPr>
                <w:noProof/>
                <w:webHidden/>
              </w:rPr>
              <w:t>20</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61" w:history="1">
            <w:r w:rsidR="00E41E7C" w:rsidRPr="00396298">
              <w:rPr>
                <w:rStyle w:val="Hiperpovezava"/>
                <w:noProof/>
                <w14:scene3d>
                  <w14:camera w14:prst="orthographicFront"/>
                  <w14:lightRig w14:rig="threePt" w14:dir="t">
                    <w14:rot w14:lat="0" w14:lon="0" w14:rev="0"/>
                  </w14:lightRig>
                </w14:scene3d>
              </w:rPr>
              <w:t>2.1.2.1</w:t>
            </w:r>
            <w:r w:rsidR="00E41E7C">
              <w:rPr>
                <w:noProof/>
                <w:kern w:val="2"/>
                <w:szCs w:val="24"/>
                <w:lang w:eastAsia="en-GB"/>
                <w14:ligatures w14:val="standardContextual"/>
              </w:rPr>
              <w:tab/>
            </w:r>
            <w:r w:rsidR="00E41E7C" w:rsidRPr="00396298">
              <w:rPr>
                <w:rStyle w:val="Hiperpovezava"/>
                <w:noProof/>
              </w:rPr>
              <w:t>VSL Sodba V Cpg 209/2024 z dne 17. decembra 2025</w:t>
            </w:r>
            <w:r w:rsidR="00E41E7C">
              <w:rPr>
                <w:noProof/>
                <w:webHidden/>
              </w:rPr>
              <w:tab/>
            </w:r>
            <w:r w:rsidR="00E41E7C">
              <w:rPr>
                <w:noProof/>
                <w:webHidden/>
              </w:rPr>
              <w:fldChar w:fldCharType="begin"/>
            </w:r>
            <w:r w:rsidR="00E41E7C">
              <w:rPr>
                <w:noProof/>
                <w:webHidden/>
              </w:rPr>
              <w:instrText xml:space="preserve"> PAGEREF _Toc227678361 \h </w:instrText>
            </w:r>
            <w:r w:rsidR="00E41E7C">
              <w:rPr>
                <w:noProof/>
                <w:webHidden/>
              </w:rPr>
            </w:r>
            <w:r w:rsidR="00E41E7C">
              <w:rPr>
                <w:noProof/>
                <w:webHidden/>
              </w:rPr>
              <w:fldChar w:fldCharType="separate"/>
            </w:r>
            <w:r w:rsidR="00E41E7C">
              <w:rPr>
                <w:noProof/>
                <w:webHidden/>
              </w:rPr>
              <w:t>20</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62" w:history="1">
            <w:r w:rsidR="00E41E7C" w:rsidRPr="00396298">
              <w:rPr>
                <w:rStyle w:val="Hiperpovezava"/>
                <w:noProof/>
                <w14:scene3d>
                  <w14:camera w14:prst="orthographicFront"/>
                  <w14:lightRig w14:rig="threePt" w14:dir="t">
                    <w14:rot w14:lat="0" w14:lon="0" w14:rev="0"/>
                  </w14:lightRig>
                </w14:scene3d>
              </w:rPr>
              <w:t>2.1.2.2</w:t>
            </w:r>
            <w:r w:rsidR="00E41E7C">
              <w:rPr>
                <w:noProof/>
                <w:kern w:val="2"/>
                <w:szCs w:val="24"/>
                <w:lang w:eastAsia="en-GB"/>
                <w14:ligatures w14:val="standardContextual"/>
              </w:rPr>
              <w:tab/>
            </w:r>
            <w:r w:rsidR="00E41E7C" w:rsidRPr="00396298">
              <w:rPr>
                <w:rStyle w:val="Hiperpovezava"/>
                <w:noProof/>
              </w:rPr>
              <w:t>VSL Sklep V Cpg 306/2025 z dne 11. septembra 2025</w:t>
            </w:r>
            <w:r w:rsidR="00E41E7C">
              <w:rPr>
                <w:noProof/>
                <w:webHidden/>
              </w:rPr>
              <w:tab/>
            </w:r>
            <w:r w:rsidR="00E41E7C">
              <w:rPr>
                <w:noProof/>
                <w:webHidden/>
              </w:rPr>
              <w:fldChar w:fldCharType="begin"/>
            </w:r>
            <w:r w:rsidR="00E41E7C">
              <w:rPr>
                <w:noProof/>
                <w:webHidden/>
              </w:rPr>
              <w:instrText xml:space="preserve"> PAGEREF _Toc227678362 \h </w:instrText>
            </w:r>
            <w:r w:rsidR="00E41E7C">
              <w:rPr>
                <w:noProof/>
                <w:webHidden/>
              </w:rPr>
            </w:r>
            <w:r w:rsidR="00E41E7C">
              <w:rPr>
                <w:noProof/>
                <w:webHidden/>
              </w:rPr>
              <w:fldChar w:fldCharType="separate"/>
            </w:r>
            <w:r w:rsidR="00E41E7C">
              <w:rPr>
                <w:noProof/>
                <w:webHidden/>
              </w:rPr>
              <w:t>22</w:t>
            </w:r>
            <w:r w:rsidR="00E41E7C">
              <w:rPr>
                <w:noProof/>
                <w:webHidden/>
              </w:rPr>
              <w:fldChar w:fldCharType="end"/>
            </w:r>
          </w:hyperlink>
        </w:p>
        <w:p w:rsidR="00E41E7C" w:rsidRDefault="003E40DE">
          <w:pPr>
            <w:pStyle w:val="Kazalovsebine3"/>
            <w:tabs>
              <w:tab w:val="left" w:pos="1200"/>
              <w:tab w:val="right" w:leader="dot" w:pos="9010"/>
            </w:tabs>
            <w:rPr>
              <w:noProof/>
              <w:kern w:val="2"/>
              <w:szCs w:val="24"/>
              <w:lang w:eastAsia="en-GB"/>
              <w14:ligatures w14:val="standardContextual"/>
            </w:rPr>
          </w:pPr>
          <w:hyperlink w:anchor="_Toc227678363" w:history="1">
            <w:r w:rsidR="00E41E7C" w:rsidRPr="00396298">
              <w:rPr>
                <w:rStyle w:val="Hiperpovezava"/>
                <w:noProof/>
              </w:rPr>
              <w:t>2.1.3</w:t>
            </w:r>
            <w:r w:rsidR="00E41E7C">
              <w:rPr>
                <w:noProof/>
                <w:kern w:val="2"/>
                <w:szCs w:val="24"/>
                <w:lang w:eastAsia="en-GB"/>
                <w14:ligatures w14:val="standardContextual"/>
              </w:rPr>
              <w:tab/>
            </w:r>
            <w:r w:rsidR="00E41E7C" w:rsidRPr="00396298">
              <w:rPr>
                <w:rStyle w:val="Hiperpovezava"/>
                <w:noProof/>
              </w:rPr>
              <w:t>Model</w:t>
            </w:r>
            <w:r w:rsidR="00E41E7C">
              <w:rPr>
                <w:noProof/>
                <w:webHidden/>
              </w:rPr>
              <w:tab/>
            </w:r>
            <w:r w:rsidR="00E41E7C">
              <w:rPr>
                <w:noProof/>
                <w:webHidden/>
              </w:rPr>
              <w:fldChar w:fldCharType="begin"/>
            </w:r>
            <w:r w:rsidR="00E41E7C">
              <w:rPr>
                <w:noProof/>
                <w:webHidden/>
              </w:rPr>
              <w:instrText xml:space="preserve"> PAGEREF _Toc227678363 \h </w:instrText>
            </w:r>
            <w:r w:rsidR="00E41E7C">
              <w:rPr>
                <w:noProof/>
                <w:webHidden/>
              </w:rPr>
            </w:r>
            <w:r w:rsidR="00E41E7C">
              <w:rPr>
                <w:noProof/>
                <w:webHidden/>
              </w:rPr>
              <w:fldChar w:fldCharType="separate"/>
            </w:r>
            <w:r w:rsidR="00E41E7C">
              <w:rPr>
                <w:noProof/>
                <w:webHidden/>
              </w:rPr>
              <w:t>24</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64" w:history="1">
            <w:r w:rsidR="00E41E7C" w:rsidRPr="00396298">
              <w:rPr>
                <w:rStyle w:val="Hiperpovezava"/>
                <w:noProof/>
                <w14:scene3d>
                  <w14:camera w14:prst="orthographicFront"/>
                  <w14:lightRig w14:rig="threePt" w14:dir="t">
                    <w14:rot w14:lat="0" w14:lon="0" w14:rev="0"/>
                  </w14:lightRig>
                </w14:scene3d>
              </w:rPr>
              <w:t>2.1.3.1</w:t>
            </w:r>
            <w:r w:rsidR="00E41E7C">
              <w:rPr>
                <w:noProof/>
                <w:kern w:val="2"/>
                <w:szCs w:val="24"/>
                <w:lang w:eastAsia="en-GB"/>
                <w14:ligatures w14:val="standardContextual"/>
              </w:rPr>
              <w:tab/>
            </w:r>
            <w:r w:rsidR="00E41E7C" w:rsidRPr="00396298">
              <w:rPr>
                <w:rStyle w:val="Hiperpovezava"/>
                <w:noProof/>
              </w:rPr>
              <w:t>VSL Sklep V Cpg 25/2025 z dne 20. februarja 2025</w:t>
            </w:r>
            <w:r w:rsidR="00E41E7C">
              <w:rPr>
                <w:noProof/>
                <w:webHidden/>
              </w:rPr>
              <w:tab/>
            </w:r>
            <w:r w:rsidR="00E41E7C">
              <w:rPr>
                <w:noProof/>
                <w:webHidden/>
              </w:rPr>
              <w:fldChar w:fldCharType="begin"/>
            </w:r>
            <w:r w:rsidR="00E41E7C">
              <w:rPr>
                <w:noProof/>
                <w:webHidden/>
              </w:rPr>
              <w:instrText xml:space="preserve"> PAGEREF _Toc227678364 \h </w:instrText>
            </w:r>
            <w:r w:rsidR="00E41E7C">
              <w:rPr>
                <w:noProof/>
                <w:webHidden/>
              </w:rPr>
            </w:r>
            <w:r w:rsidR="00E41E7C">
              <w:rPr>
                <w:noProof/>
                <w:webHidden/>
              </w:rPr>
              <w:fldChar w:fldCharType="separate"/>
            </w:r>
            <w:r w:rsidR="00E41E7C">
              <w:rPr>
                <w:noProof/>
                <w:webHidden/>
              </w:rPr>
              <w:t>24</w:t>
            </w:r>
            <w:r w:rsidR="00E41E7C">
              <w:rPr>
                <w:noProof/>
                <w:webHidden/>
              </w:rPr>
              <w:fldChar w:fldCharType="end"/>
            </w:r>
          </w:hyperlink>
        </w:p>
        <w:p w:rsidR="00E41E7C" w:rsidRDefault="003E40DE">
          <w:pPr>
            <w:pStyle w:val="Kazalovsebine3"/>
            <w:tabs>
              <w:tab w:val="left" w:pos="1200"/>
              <w:tab w:val="right" w:leader="dot" w:pos="9010"/>
            </w:tabs>
            <w:rPr>
              <w:noProof/>
              <w:kern w:val="2"/>
              <w:szCs w:val="24"/>
              <w:lang w:eastAsia="en-GB"/>
              <w14:ligatures w14:val="standardContextual"/>
            </w:rPr>
          </w:pPr>
          <w:hyperlink w:anchor="_Toc227678365" w:history="1">
            <w:r w:rsidR="00E41E7C" w:rsidRPr="00396298">
              <w:rPr>
                <w:rStyle w:val="Hiperpovezava"/>
                <w:noProof/>
              </w:rPr>
              <w:t>2.1.4</w:t>
            </w:r>
            <w:r w:rsidR="00E41E7C">
              <w:rPr>
                <w:noProof/>
                <w:kern w:val="2"/>
                <w:szCs w:val="24"/>
                <w:lang w:eastAsia="en-GB"/>
                <w14:ligatures w14:val="standardContextual"/>
              </w:rPr>
              <w:tab/>
            </w:r>
            <w:r w:rsidR="00E41E7C" w:rsidRPr="00396298">
              <w:rPr>
                <w:rStyle w:val="Hiperpovezava"/>
                <w:noProof/>
              </w:rPr>
              <w:t>Zaščitena geografska označba</w:t>
            </w:r>
            <w:r w:rsidR="00E41E7C">
              <w:rPr>
                <w:noProof/>
                <w:webHidden/>
              </w:rPr>
              <w:tab/>
            </w:r>
            <w:r w:rsidR="00E41E7C">
              <w:rPr>
                <w:noProof/>
                <w:webHidden/>
              </w:rPr>
              <w:fldChar w:fldCharType="begin"/>
            </w:r>
            <w:r w:rsidR="00E41E7C">
              <w:rPr>
                <w:noProof/>
                <w:webHidden/>
              </w:rPr>
              <w:instrText xml:space="preserve"> PAGEREF _Toc227678365 \h </w:instrText>
            </w:r>
            <w:r w:rsidR="00E41E7C">
              <w:rPr>
                <w:noProof/>
                <w:webHidden/>
              </w:rPr>
            </w:r>
            <w:r w:rsidR="00E41E7C">
              <w:rPr>
                <w:noProof/>
                <w:webHidden/>
              </w:rPr>
              <w:fldChar w:fldCharType="separate"/>
            </w:r>
            <w:r w:rsidR="00E41E7C">
              <w:rPr>
                <w:noProof/>
                <w:webHidden/>
              </w:rPr>
              <w:t>26</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66" w:history="1">
            <w:r w:rsidR="00E41E7C" w:rsidRPr="00396298">
              <w:rPr>
                <w:rStyle w:val="Hiperpovezava"/>
                <w:noProof/>
                <w14:scene3d>
                  <w14:camera w14:prst="orthographicFront"/>
                  <w14:lightRig w14:rig="threePt" w14:dir="t">
                    <w14:rot w14:lat="0" w14:lon="0" w14:rev="0"/>
                  </w14:lightRig>
                </w14:scene3d>
              </w:rPr>
              <w:t>2.1.4.1</w:t>
            </w:r>
            <w:r w:rsidR="00E41E7C">
              <w:rPr>
                <w:noProof/>
                <w:kern w:val="2"/>
                <w:szCs w:val="24"/>
                <w:lang w:eastAsia="en-GB"/>
                <w14:ligatures w14:val="standardContextual"/>
              </w:rPr>
              <w:tab/>
            </w:r>
            <w:r w:rsidR="00E41E7C" w:rsidRPr="00396298">
              <w:rPr>
                <w:rStyle w:val="Hiperpovezava"/>
                <w:noProof/>
              </w:rPr>
              <w:t>VSL Sodba V Cpg 103/2025 z dne 14. maja 2025</w:t>
            </w:r>
            <w:r w:rsidR="00E41E7C">
              <w:rPr>
                <w:noProof/>
                <w:webHidden/>
              </w:rPr>
              <w:tab/>
            </w:r>
            <w:r w:rsidR="00E41E7C">
              <w:rPr>
                <w:noProof/>
                <w:webHidden/>
              </w:rPr>
              <w:fldChar w:fldCharType="begin"/>
            </w:r>
            <w:r w:rsidR="00E41E7C">
              <w:rPr>
                <w:noProof/>
                <w:webHidden/>
              </w:rPr>
              <w:instrText xml:space="preserve"> PAGEREF _Toc227678366 \h </w:instrText>
            </w:r>
            <w:r w:rsidR="00E41E7C">
              <w:rPr>
                <w:noProof/>
                <w:webHidden/>
              </w:rPr>
            </w:r>
            <w:r w:rsidR="00E41E7C">
              <w:rPr>
                <w:noProof/>
                <w:webHidden/>
              </w:rPr>
              <w:fldChar w:fldCharType="separate"/>
            </w:r>
            <w:r w:rsidR="00E41E7C">
              <w:rPr>
                <w:noProof/>
                <w:webHidden/>
              </w:rPr>
              <w:t>26</w:t>
            </w:r>
            <w:r w:rsidR="00E41E7C">
              <w:rPr>
                <w:noProof/>
                <w:webHidden/>
              </w:rPr>
              <w:fldChar w:fldCharType="end"/>
            </w:r>
          </w:hyperlink>
        </w:p>
        <w:p w:rsidR="00E41E7C" w:rsidRDefault="003E40DE">
          <w:pPr>
            <w:pStyle w:val="Kazalovsebine2"/>
            <w:tabs>
              <w:tab w:val="left" w:pos="800"/>
              <w:tab w:val="right" w:leader="dot" w:pos="9010"/>
            </w:tabs>
            <w:rPr>
              <w:b w:val="0"/>
              <w:bCs w:val="0"/>
              <w:noProof/>
              <w:kern w:val="2"/>
              <w:sz w:val="24"/>
              <w:szCs w:val="24"/>
              <w:lang w:eastAsia="en-GB"/>
              <w14:ligatures w14:val="standardContextual"/>
            </w:rPr>
          </w:pPr>
          <w:hyperlink w:anchor="_Toc227678367" w:history="1">
            <w:r w:rsidR="00E41E7C" w:rsidRPr="00396298">
              <w:rPr>
                <w:rStyle w:val="Hiperpovezava"/>
                <w:noProof/>
              </w:rPr>
              <w:t>2.2</w:t>
            </w:r>
            <w:r w:rsidR="00E41E7C">
              <w:rPr>
                <w:b w:val="0"/>
                <w:bCs w:val="0"/>
                <w:noProof/>
                <w:kern w:val="2"/>
                <w:sz w:val="24"/>
                <w:szCs w:val="24"/>
                <w:lang w:eastAsia="en-GB"/>
                <w14:ligatures w14:val="standardContextual"/>
              </w:rPr>
              <w:tab/>
            </w:r>
            <w:r w:rsidR="00E41E7C" w:rsidRPr="00396298">
              <w:rPr>
                <w:rStyle w:val="Hiperpovezava"/>
                <w:noProof/>
              </w:rPr>
              <w:t>Avtorska in sorodne pravice</w:t>
            </w:r>
            <w:r w:rsidR="00E41E7C">
              <w:rPr>
                <w:noProof/>
                <w:webHidden/>
              </w:rPr>
              <w:tab/>
            </w:r>
            <w:r w:rsidR="00E41E7C">
              <w:rPr>
                <w:noProof/>
                <w:webHidden/>
              </w:rPr>
              <w:fldChar w:fldCharType="begin"/>
            </w:r>
            <w:r w:rsidR="00E41E7C">
              <w:rPr>
                <w:noProof/>
                <w:webHidden/>
              </w:rPr>
              <w:instrText xml:space="preserve"> PAGEREF _Toc227678367 \h </w:instrText>
            </w:r>
            <w:r w:rsidR="00E41E7C">
              <w:rPr>
                <w:noProof/>
                <w:webHidden/>
              </w:rPr>
            </w:r>
            <w:r w:rsidR="00E41E7C">
              <w:rPr>
                <w:noProof/>
                <w:webHidden/>
              </w:rPr>
              <w:fldChar w:fldCharType="separate"/>
            </w:r>
            <w:r w:rsidR="00E41E7C">
              <w:rPr>
                <w:noProof/>
                <w:webHidden/>
              </w:rPr>
              <w:t>30</w:t>
            </w:r>
            <w:r w:rsidR="00E41E7C">
              <w:rPr>
                <w:noProof/>
                <w:webHidden/>
              </w:rPr>
              <w:fldChar w:fldCharType="end"/>
            </w:r>
          </w:hyperlink>
        </w:p>
        <w:p w:rsidR="00E41E7C" w:rsidRDefault="003E40DE">
          <w:pPr>
            <w:pStyle w:val="Kazalovsebine3"/>
            <w:tabs>
              <w:tab w:val="left" w:pos="1200"/>
              <w:tab w:val="right" w:leader="dot" w:pos="9010"/>
            </w:tabs>
            <w:rPr>
              <w:noProof/>
              <w:kern w:val="2"/>
              <w:szCs w:val="24"/>
              <w:lang w:eastAsia="en-GB"/>
              <w14:ligatures w14:val="standardContextual"/>
            </w:rPr>
          </w:pPr>
          <w:hyperlink w:anchor="_Toc227678368" w:history="1">
            <w:r w:rsidR="00E41E7C" w:rsidRPr="00396298">
              <w:rPr>
                <w:rStyle w:val="Hiperpovezava"/>
                <w:noProof/>
              </w:rPr>
              <w:t>2.2.1</w:t>
            </w:r>
            <w:r w:rsidR="00E41E7C">
              <w:rPr>
                <w:noProof/>
                <w:kern w:val="2"/>
                <w:szCs w:val="24"/>
                <w:lang w:eastAsia="en-GB"/>
                <w14:ligatures w14:val="standardContextual"/>
              </w:rPr>
              <w:tab/>
            </w:r>
            <w:r w:rsidR="00E41E7C" w:rsidRPr="00396298">
              <w:rPr>
                <w:rStyle w:val="Hiperpovezava"/>
                <w:noProof/>
              </w:rPr>
              <w:t>Kolektivno upravljanje avtorske in sorodnih pravic</w:t>
            </w:r>
            <w:r w:rsidR="00E41E7C">
              <w:rPr>
                <w:noProof/>
                <w:webHidden/>
              </w:rPr>
              <w:tab/>
            </w:r>
            <w:r w:rsidR="00E41E7C">
              <w:rPr>
                <w:noProof/>
                <w:webHidden/>
              </w:rPr>
              <w:fldChar w:fldCharType="begin"/>
            </w:r>
            <w:r w:rsidR="00E41E7C">
              <w:rPr>
                <w:noProof/>
                <w:webHidden/>
              </w:rPr>
              <w:instrText xml:space="preserve"> PAGEREF _Toc227678368 \h </w:instrText>
            </w:r>
            <w:r w:rsidR="00E41E7C">
              <w:rPr>
                <w:noProof/>
                <w:webHidden/>
              </w:rPr>
            </w:r>
            <w:r w:rsidR="00E41E7C">
              <w:rPr>
                <w:noProof/>
                <w:webHidden/>
              </w:rPr>
              <w:fldChar w:fldCharType="separate"/>
            </w:r>
            <w:r w:rsidR="00E41E7C">
              <w:rPr>
                <w:noProof/>
                <w:webHidden/>
              </w:rPr>
              <w:t>30</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69" w:history="1">
            <w:r w:rsidR="00E41E7C" w:rsidRPr="00396298">
              <w:rPr>
                <w:rStyle w:val="Hiperpovezava"/>
                <w:noProof/>
                <w14:scene3d>
                  <w14:camera w14:prst="orthographicFront"/>
                  <w14:lightRig w14:rig="threePt" w14:dir="t">
                    <w14:rot w14:lat="0" w14:lon="0" w14:rev="0"/>
                  </w14:lightRig>
                </w14:scene3d>
              </w:rPr>
              <w:t>2.2.1.1</w:t>
            </w:r>
            <w:r w:rsidR="00E41E7C">
              <w:rPr>
                <w:noProof/>
                <w:kern w:val="2"/>
                <w:szCs w:val="24"/>
                <w:lang w:eastAsia="en-GB"/>
                <w14:ligatures w14:val="standardContextual"/>
              </w:rPr>
              <w:tab/>
            </w:r>
            <w:r w:rsidR="00E41E7C" w:rsidRPr="00396298">
              <w:rPr>
                <w:rStyle w:val="Hiperpovezava"/>
                <w:rFonts w:eastAsia="Times New Roman"/>
                <w:noProof/>
                <w:lang w:eastAsia="en-GB"/>
              </w:rPr>
              <w:t>VSL Sodba V Cpg 102/2025 z dne 11. septembra 2025</w:t>
            </w:r>
            <w:r w:rsidR="00E41E7C">
              <w:rPr>
                <w:noProof/>
                <w:webHidden/>
              </w:rPr>
              <w:tab/>
            </w:r>
            <w:r w:rsidR="00E41E7C">
              <w:rPr>
                <w:noProof/>
                <w:webHidden/>
              </w:rPr>
              <w:fldChar w:fldCharType="begin"/>
            </w:r>
            <w:r w:rsidR="00E41E7C">
              <w:rPr>
                <w:noProof/>
                <w:webHidden/>
              </w:rPr>
              <w:instrText xml:space="preserve"> PAGEREF _Toc227678369 \h </w:instrText>
            </w:r>
            <w:r w:rsidR="00E41E7C">
              <w:rPr>
                <w:noProof/>
                <w:webHidden/>
              </w:rPr>
            </w:r>
            <w:r w:rsidR="00E41E7C">
              <w:rPr>
                <w:noProof/>
                <w:webHidden/>
              </w:rPr>
              <w:fldChar w:fldCharType="separate"/>
            </w:r>
            <w:r w:rsidR="00E41E7C">
              <w:rPr>
                <w:noProof/>
                <w:webHidden/>
              </w:rPr>
              <w:t>30</w:t>
            </w:r>
            <w:r w:rsidR="00E41E7C">
              <w:rPr>
                <w:noProof/>
                <w:webHidden/>
              </w:rPr>
              <w:fldChar w:fldCharType="end"/>
            </w:r>
          </w:hyperlink>
        </w:p>
        <w:p w:rsidR="00E41E7C" w:rsidRDefault="003E40DE">
          <w:pPr>
            <w:pStyle w:val="Kazalovsebine3"/>
            <w:tabs>
              <w:tab w:val="left" w:pos="1200"/>
              <w:tab w:val="right" w:leader="dot" w:pos="9010"/>
            </w:tabs>
            <w:rPr>
              <w:noProof/>
              <w:kern w:val="2"/>
              <w:szCs w:val="24"/>
              <w:lang w:eastAsia="en-GB"/>
              <w14:ligatures w14:val="standardContextual"/>
            </w:rPr>
          </w:pPr>
          <w:hyperlink w:anchor="_Toc227678370" w:history="1">
            <w:r w:rsidR="00E41E7C" w:rsidRPr="00396298">
              <w:rPr>
                <w:rStyle w:val="Hiperpovezava"/>
                <w:noProof/>
              </w:rPr>
              <w:t>2.2.2</w:t>
            </w:r>
            <w:r w:rsidR="00E41E7C">
              <w:rPr>
                <w:noProof/>
                <w:kern w:val="2"/>
                <w:szCs w:val="24"/>
                <w:lang w:eastAsia="en-GB"/>
                <w14:ligatures w14:val="standardContextual"/>
              </w:rPr>
              <w:tab/>
            </w:r>
            <w:r w:rsidR="00E41E7C" w:rsidRPr="00396298">
              <w:rPr>
                <w:rStyle w:val="Hiperpovezava"/>
                <w:noProof/>
              </w:rPr>
              <w:t>Individualni avtorski spori</w:t>
            </w:r>
            <w:r w:rsidR="00E41E7C">
              <w:rPr>
                <w:noProof/>
                <w:webHidden/>
              </w:rPr>
              <w:tab/>
            </w:r>
            <w:r w:rsidR="00E41E7C">
              <w:rPr>
                <w:noProof/>
                <w:webHidden/>
              </w:rPr>
              <w:fldChar w:fldCharType="begin"/>
            </w:r>
            <w:r w:rsidR="00E41E7C">
              <w:rPr>
                <w:noProof/>
                <w:webHidden/>
              </w:rPr>
              <w:instrText xml:space="preserve"> PAGEREF _Toc227678370 \h </w:instrText>
            </w:r>
            <w:r w:rsidR="00E41E7C">
              <w:rPr>
                <w:noProof/>
                <w:webHidden/>
              </w:rPr>
            </w:r>
            <w:r w:rsidR="00E41E7C">
              <w:rPr>
                <w:noProof/>
                <w:webHidden/>
              </w:rPr>
              <w:fldChar w:fldCharType="separate"/>
            </w:r>
            <w:r w:rsidR="00E41E7C">
              <w:rPr>
                <w:noProof/>
                <w:webHidden/>
              </w:rPr>
              <w:t>31</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71" w:history="1">
            <w:r w:rsidR="00E41E7C" w:rsidRPr="00396298">
              <w:rPr>
                <w:rStyle w:val="Hiperpovezava"/>
                <w:rFonts w:eastAsia="Times New Roman"/>
                <w:noProof/>
                <w:lang w:eastAsia="en-GB"/>
                <w14:scene3d>
                  <w14:camera w14:prst="orthographicFront"/>
                  <w14:lightRig w14:rig="threePt" w14:dir="t">
                    <w14:rot w14:lat="0" w14:lon="0" w14:rev="0"/>
                  </w14:lightRig>
                </w14:scene3d>
              </w:rPr>
              <w:t>2.2.2.1</w:t>
            </w:r>
            <w:r w:rsidR="00E41E7C">
              <w:rPr>
                <w:noProof/>
                <w:kern w:val="2"/>
                <w:szCs w:val="24"/>
                <w:lang w:eastAsia="en-GB"/>
                <w14:ligatures w14:val="standardContextual"/>
              </w:rPr>
              <w:tab/>
            </w:r>
            <w:r w:rsidR="00E41E7C" w:rsidRPr="00396298">
              <w:rPr>
                <w:rStyle w:val="Hiperpovezava"/>
                <w:rFonts w:eastAsia="Times New Roman"/>
                <w:noProof/>
                <w:lang w:eastAsia="en-GB"/>
              </w:rPr>
              <w:t>VSRS Sodba III Ips 18/2024 z dne 8. septembra 2025</w:t>
            </w:r>
            <w:r w:rsidR="00E41E7C">
              <w:rPr>
                <w:noProof/>
                <w:webHidden/>
              </w:rPr>
              <w:tab/>
            </w:r>
            <w:r w:rsidR="00E41E7C">
              <w:rPr>
                <w:noProof/>
                <w:webHidden/>
              </w:rPr>
              <w:fldChar w:fldCharType="begin"/>
            </w:r>
            <w:r w:rsidR="00E41E7C">
              <w:rPr>
                <w:noProof/>
                <w:webHidden/>
              </w:rPr>
              <w:instrText xml:space="preserve"> PAGEREF _Toc227678371 \h </w:instrText>
            </w:r>
            <w:r w:rsidR="00E41E7C">
              <w:rPr>
                <w:noProof/>
                <w:webHidden/>
              </w:rPr>
            </w:r>
            <w:r w:rsidR="00E41E7C">
              <w:rPr>
                <w:noProof/>
                <w:webHidden/>
              </w:rPr>
              <w:fldChar w:fldCharType="separate"/>
            </w:r>
            <w:r w:rsidR="00E41E7C">
              <w:rPr>
                <w:noProof/>
                <w:webHidden/>
              </w:rPr>
              <w:t>31</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72" w:history="1">
            <w:r w:rsidR="00E41E7C" w:rsidRPr="00396298">
              <w:rPr>
                <w:rStyle w:val="Hiperpovezava"/>
                <w:rFonts w:eastAsia="Times New Roman"/>
                <w:noProof/>
                <w:lang w:eastAsia="en-GB"/>
                <w14:scene3d>
                  <w14:camera w14:prst="orthographicFront"/>
                  <w14:lightRig w14:rig="threePt" w14:dir="t">
                    <w14:rot w14:lat="0" w14:lon="0" w14:rev="0"/>
                  </w14:lightRig>
                </w14:scene3d>
              </w:rPr>
              <w:t>2.2.2.2</w:t>
            </w:r>
            <w:r w:rsidR="00E41E7C">
              <w:rPr>
                <w:noProof/>
                <w:kern w:val="2"/>
                <w:szCs w:val="24"/>
                <w:lang w:eastAsia="en-GB"/>
                <w14:ligatures w14:val="standardContextual"/>
              </w:rPr>
              <w:tab/>
            </w:r>
            <w:r w:rsidR="00E41E7C" w:rsidRPr="00396298">
              <w:rPr>
                <w:rStyle w:val="Hiperpovezava"/>
                <w:rFonts w:eastAsia="Times New Roman"/>
                <w:noProof/>
                <w:lang w:eastAsia="en-GB"/>
              </w:rPr>
              <w:t>VSL Sodba in sklep V Cpg 573/2023 z dne 1. aprila 2025</w:t>
            </w:r>
            <w:r w:rsidR="00E41E7C">
              <w:rPr>
                <w:noProof/>
                <w:webHidden/>
              </w:rPr>
              <w:tab/>
            </w:r>
            <w:r w:rsidR="00E41E7C">
              <w:rPr>
                <w:noProof/>
                <w:webHidden/>
              </w:rPr>
              <w:fldChar w:fldCharType="begin"/>
            </w:r>
            <w:r w:rsidR="00E41E7C">
              <w:rPr>
                <w:noProof/>
                <w:webHidden/>
              </w:rPr>
              <w:instrText xml:space="preserve"> PAGEREF _Toc227678372 \h </w:instrText>
            </w:r>
            <w:r w:rsidR="00E41E7C">
              <w:rPr>
                <w:noProof/>
                <w:webHidden/>
              </w:rPr>
            </w:r>
            <w:r w:rsidR="00E41E7C">
              <w:rPr>
                <w:noProof/>
                <w:webHidden/>
              </w:rPr>
              <w:fldChar w:fldCharType="separate"/>
            </w:r>
            <w:r w:rsidR="00E41E7C">
              <w:rPr>
                <w:noProof/>
                <w:webHidden/>
              </w:rPr>
              <w:t>33</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73" w:history="1">
            <w:r w:rsidR="00E41E7C" w:rsidRPr="00396298">
              <w:rPr>
                <w:rStyle w:val="Hiperpovezava"/>
                <w:noProof/>
                <w14:scene3d>
                  <w14:camera w14:prst="orthographicFront"/>
                  <w14:lightRig w14:rig="threePt" w14:dir="t">
                    <w14:rot w14:lat="0" w14:lon="0" w14:rev="0"/>
                  </w14:lightRig>
                </w14:scene3d>
              </w:rPr>
              <w:t>2.2.2.3</w:t>
            </w:r>
            <w:r w:rsidR="00E41E7C">
              <w:rPr>
                <w:noProof/>
                <w:kern w:val="2"/>
                <w:szCs w:val="24"/>
                <w:lang w:eastAsia="en-GB"/>
                <w14:ligatures w14:val="standardContextual"/>
              </w:rPr>
              <w:tab/>
            </w:r>
            <w:r w:rsidR="00E41E7C" w:rsidRPr="00396298">
              <w:rPr>
                <w:rStyle w:val="Hiperpovezava"/>
                <w:rFonts w:eastAsia="Times New Roman"/>
                <w:noProof/>
                <w:lang w:eastAsia="en-GB"/>
              </w:rPr>
              <w:t>VSL Sklep I Cp 1697/2025 z dne 7. oktobra 2025</w:t>
            </w:r>
            <w:r w:rsidR="00E41E7C">
              <w:rPr>
                <w:noProof/>
                <w:webHidden/>
              </w:rPr>
              <w:tab/>
            </w:r>
            <w:r w:rsidR="00E41E7C">
              <w:rPr>
                <w:noProof/>
                <w:webHidden/>
              </w:rPr>
              <w:fldChar w:fldCharType="begin"/>
            </w:r>
            <w:r w:rsidR="00E41E7C">
              <w:rPr>
                <w:noProof/>
                <w:webHidden/>
              </w:rPr>
              <w:instrText xml:space="preserve"> PAGEREF _Toc227678373 \h </w:instrText>
            </w:r>
            <w:r w:rsidR="00E41E7C">
              <w:rPr>
                <w:noProof/>
                <w:webHidden/>
              </w:rPr>
            </w:r>
            <w:r w:rsidR="00E41E7C">
              <w:rPr>
                <w:noProof/>
                <w:webHidden/>
              </w:rPr>
              <w:fldChar w:fldCharType="separate"/>
            </w:r>
            <w:r w:rsidR="00E41E7C">
              <w:rPr>
                <w:noProof/>
                <w:webHidden/>
              </w:rPr>
              <w:t>36</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74" w:history="1">
            <w:r w:rsidR="00E41E7C" w:rsidRPr="00396298">
              <w:rPr>
                <w:rStyle w:val="Hiperpovezava"/>
                <w:noProof/>
                <w14:scene3d>
                  <w14:camera w14:prst="orthographicFront"/>
                  <w14:lightRig w14:rig="threePt" w14:dir="t">
                    <w14:rot w14:lat="0" w14:lon="0" w14:rev="0"/>
                  </w14:lightRig>
                </w14:scene3d>
              </w:rPr>
              <w:t>2.2.2.4</w:t>
            </w:r>
            <w:r w:rsidR="00E41E7C">
              <w:rPr>
                <w:noProof/>
                <w:kern w:val="2"/>
                <w:szCs w:val="24"/>
                <w:lang w:eastAsia="en-GB"/>
                <w14:ligatures w14:val="standardContextual"/>
              </w:rPr>
              <w:tab/>
            </w:r>
            <w:r w:rsidR="00E41E7C" w:rsidRPr="00396298">
              <w:rPr>
                <w:rStyle w:val="Hiperpovezava"/>
                <w:rFonts w:eastAsia="Times New Roman"/>
                <w:noProof/>
                <w:lang w:eastAsia="en-GB"/>
              </w:rPr>
              <w:t>VSL Sklep V Cpg 272/2025 z dne 10. julija 2025</w:t>
            </w:r>
            <w:r w:rsidR="00E41E7C">
              <w:rPr>
                <w:noProof/>
                <w:webHidden/>
              </w:rPr>
              <w:tab/>
            </w:r>
            <w:r w:rsidR="00E41E7C">
              <w:rPr>
                <w:noProof/>
                <w:webHidden/>
              </w:rPr>
              <w:fldChar w:fldCharType="begin"/>
            </w:r>
            <w:r w:rsidR="00E41E7C">
              <w:rPr>
                <w:noProof/>
                <w:webHidden/>
              </w:rPr>
              <w:instrText xml:space="preserve"> PAGEREF _Toc227678374 \h </w:instrText>
            </w:r>
            <w:r w:rsidR="00E41E7C">
              <w:rPr>
                <w:noProof/>
                <w:webHidden/>
              </w:rPr>
            </w:r>
            <w:r w:rsidR="00E41E7C">
              <w:rPr>
                <w:noProof/>
                <w:webHidden/>
              </w:rPr>
              <w:fldChar w:fldCharType="separate"/>
            </w:r>
            <w:r w:rsidR="00E41E7C">
              <w:rPr>
                <w:noProof/>
                <w:webHidden/>
              </w:rPr>
              <w:t>38</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75" w:history="1">
            <w:r w:rsidR="00E41E7C" w:rsidRPr="00396298">
              <w:rPr>
                <w:rStyle w:val="Hiperpovezava"/>
                <w:noProof/>
                <w14:scene3d>
                  <w14:camera w14:prst="orthographicFront"/>
                  <w14:lightRig w14:rig="threePt" w14:dir="t">
                    <w14:rot w14:lat="0" w14:lon="0" w14:rev="0"/>
                  </w14:lightRig>
                </w14:scene3d>
              </w:rPr>
              <w:t>2.2.2.5</w:t>
            </w:r>
            <w:r w:rsidR="00E41E7C">
              <w:rPr>
                <w:noProof/>
                <w:kern w:val="2"/>
                <w:szCs w:val="24"/>
                <w:lang w:eastAsia="en-GB"/>
                <w14:ligatures w14:val="standardContextual"/>
              </w:rPr>
              <w:tab/>
            </w:r>
            <w:r w:rsidR="00E41E7C" w:rsidRPr="00396298">
              <w:rPr>
                <w:rStyle w:val="Hiperpovezava"/>
                <w:noProof/>
                <w:shd w:val="clear" w:color="auto" w:fill="FFFFFF"/>
              </w:rPr>
              <w:t>VSL Sodba in sklep II Cp 197/2024 z dne 31. julija 2025</w:t>
            </w:r>
            <w:r w:rsidR="00E41E7C">
              <w:rPr>
                <w:noProof/>
                <w:webHidden/>
              </w:rPr>
              <w:tab/>
            </w:r>
            <w:r w:rsidR="00E41E7C">
              <w:rPr>
                <w:noProof/>
                <w:webHidden/>
              </w:rPr>
              <w:fldChar w:fldCharType="begin"/>
            </w:r>
            <w:r w:rsidR="00E41E7C">
              <w:rPr>
                <w:noProof/>
                <w:webHidden/>
              </w:rPr>
              <w:instrText xml:space="preserve"> PAGEREF _Toc227678375 \h </w:instrText>
            </w:r>
            <w:r w:rsidR="00E41E7C">
              <w:rPr>
                <w:noProof/>
                <w:webHidden/>
              </w:rPr>
            </w:r>
            <w:r w:rsidR="00E41E7C">
              <w:rPr>
                <w:noProof/>
                <w:webHidden/>
              </w:rPr>
              <w:fldChar w:fldCharType="separate"/>
            </w:r>
            <w:r w:rsidR="00E41E7C">
              <w:rPr>
                <w:noProof/>
                <w:webHidden/>
              </w:rPr>
              <w:t>39</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76" w:history="1">
            <w:r w:rsidR="00E41E7C" w:rsidRPr="00396298">
              <w:rPr>
                <w:rStyle w:val="Hiperpovezava"/>
                <w:noProof/>
                <w14:scene3d>
                  <w14:camera w14:prst="orthographicFront"/>
                  <w14:lightRig w14:rig="threePt" w14:dir="t">
                    <w14:rot w14:lat="0" w14:lon="0" w14:rev="0"/>
                  </w14:lightRig>
                </w14:scene3d>
              </w:rPr>
              <w:t>2.2.2.6</w:t>
            </w:r>
            <w:r w:rsidR="00E41E7C">
              <w:rPr>
                <w:noProof/>
                <w:kern w:val="2"/>
                <w:szCs w:val="24"/>
                <w:lang w:eastAsia="en-GB"/>
                <w14:ligatures w14:val="standardContextual"/>
              </w:rPr>
              <w:tab/>
            </w:r>
            <w:r w:rsidR="00E41E7C" w:rsidRPr="00396298">
              <w:rPr>
                <w:rStyle w:val="Hiperpovezava"/>
                <w:noProof/>
              </w:rPr>
              <w:t>VSL Sodba I Cpg 148/2024 z dne 12. marca 2025</w:t>
            </w:r>
            <w:r w:rsidR="00E41E7C">
              <w:rPr>
                <w:noProof/>
                <w:webHidden/>
              </w:rPr>
              <w:tab/>
            </w:r>
            <w:r w:rsidR="00E41E7C">
              <w:rPr>
                <w:noProof/>
                <w:webHidden/>
              </w:rPr>
              <w:fldChar w:fldCharType="begin"/>
            </w:r>
            <w:r w:rsidR="00E41E7C">
              <w:rPr>
                <w:noProof/>
                <w:webHidden/>
              </w:rPr>
              <w:instrText xml:space="preserve"> PAGEREF _Toc227678376 \h </w:instrText>
            </w:r>
            <w:r w:rsidR="00E41E7C">
              <w:rPr>
                <w:noProof/>
                <w:webHidden/>
              </w:rPr>
            </w:r>
            <w:r w:rsidR="00E41E7C">
              <w:rPr>
                <w:noProof/>
                <w:webHidden/>
              </w:rPr>
              <w:fldChar w:fldCharType="separate"/>
            </w:r>
            <w:r w:rsidR="00E41E7C">
              <w:rPr>
                <w:noProof/>
                <w:webHidden/>
              </w:rPr>
              <w:t>41</w:t>
            </w:r>
            <w:r w:rsidR="00E41E7C">
              <w:rPr>
                <w:noProof/>
                <w:webHidden/>
              </w:rPr>
              <w:fldChar w:fldCharType="end"/>
            </w:r>
          </w:hyperlink>
        </w:p>
        <w:p w:rsidR="00E41E7C" w:rsidRDefault="003E40DE">
          <w:pPr>
            <w:pStyle w:val="Kazalovsebine4"/>
            <w:tabs>
              <w:tab w:val="left" w:pos="1600"/>
              <w:tab w:val="right" w:leader="dot" w:pos="9010"/>
            </w:tabs>
            <w:rPr>
              <w:noProof/>
              <w:kern w:val="2"/>
              <w:szCs w:val="24"/>
              <w:lang w:eastAsia="en-GB"/>
              <w14:ligatures w14:val="standardContextual"/>
            </w:rPr>
          </w:pPr>
          <w:hyperlink w:anchor="_Toc227678377" w:history="1">
            <w:r w:rsidR="00E41E7C" w:rsidRPr="00396298">
              <w:rPr>
                <w:rStyle w:val="Hiperpovezava"/>
                <w:noProof/>
                <w14:scene3d>
                  <w14:camera w14:prst="orthographicFront"/>
                  <w14:lightRig w14:rig="threePt" w14:dir="t">
                    <w14:rot w14:lat="0" w14:lon="0" w14:rev="0"/>
                  </w14:lightRig>
                </w14:scene3d>
              </w:rPr>
              <w:t>2.2.2.7</w:t>
            </w:r>
            <w:r w:rsidR="00E41E7C">
              <w:rPr>
                <w:noProof/>
                <w:kern w:val="2"/>
                <w:szCs w:val="24"/>
                <w:lang w:eastAsia="en-GB"/>
                <w14:ligatures w14:val="standardContextual"/>
              </w:rPr>
              <w:tab/>
            </w:r>
            <w:r w:rsidR="00E41E7C" w:rsidRPr="00396298">
              <w:rPr>
                <w:rStyle w:val="Hiperpovezava"/>
                <w:noProof/>
              </w:rPr>
              <w:t>VSL Sodba V Cpg 134/2024 z dne 20. februarja 2025</w:t>
            </w:r>
            <w:r w:rsidR="00E41E7C">
              <w:rPr>
                <w:noProof/>
                <w:webHidden/>
              </w:rPr>
              <w:tab/>
            </w:r>
            <w:r w:rsidR="00E41E7C">
              <w:rPr>
                <w:noProof/>
                <w:webHidden/>
              </w:rPr>
              <w:fldChar w:fldCharType="begin"/>
            </w:r>
            <w:r w:rsidR="00E41E7C">
              <w:rPr>
                <w:noProof/>
                <w:webHidden/>
              </w:rPr>
              <w:instrText xml:space="preserve"> PAGEREF _Toc227678377 \h </w:instrText>
            </w:r>
            <w:r w:rsidR="00E41E7C">
              <w:rPr>
                <w:noProof/>
                <w:webHidden/>
              </w:rPr>
            </w:r>
            <w:r w:rsidR="00E41E7C">
              <w:rPr>
                <w:noProof/>
                <w:webHidden/>
              </w:rPr>
              <w:fldChar w:fldCharType="separate"/>
            </w:r>
            <w:r w:rsidR="00E41E7C">
              <w:rPr>
                <w:noProof/>
                <w:webHidden/>
              </w:rPr>
              <w:t>42</w:t>
            </w:r>
            <w:r w:rsidR="00E41E7C">
              <w:rPr>
                <w:noProof/>
                <w:webHidden/>
              </w:rPr>
              <w:fldChar w:fldCharType="end"/>
            </w:r>
          </w:hyperlink>
        </w:p>
        <w:p w:rsidR="00E41E7C" w:rsidRDefault="003E40DE">
          <w:pPr>
            <w:pStyle w:val="Kazalovsebine1"/>
            <w:tabs>
              <w:tab w:val="left" w:pos="400"/>
              <w:tab w:val="right" w:leader="dot" w:pos="9010"/>
            </w:tabs>
            <w:rPr>
              <w:b w:val="0"/>
              <w:bCs w:val="0"/>
              <w:i w:val="0"/>
              <w:iCs w:val="0"/>
              <w:noProof/>
              <w:kern w:val="2"/>
              <w:lang w:eastAsia="en-GB"/>
              <w14:ligatures w14:val="standardContextual"/>
            </w:rPr>
          </w:pPr>
          <w:hyperlink w:anchor="_Toc227678378" w:history="1">
            <w:r w:rsidR="00E41E7C" w:rsidRPr="00396298">
              <w:rPr>
                <w:rStyle w:val="Hiperpovezava"/>
                <w:noProof/>
              </w:rPr>
              <w:t>3</w:t>
            </w:r>
            <w:r w:rsidR="00E41E7C">
              <w:rPr>
                <w:b w:val="0"/>
                <w:bCs w:val="0"/>
                <w:i w:val="0"/>
                <w:iCs w:val="0"/>
                <w:noProof/>
                <w:kern w:val="2"/>
                <w:lang w:eastAsia="en-GB"/>
                <w14:ligatures w14:val="standardContextual"/>
              </w:rPr>
              <w:tab/>
            </w:r>
            <w:r w:rsidR="00E41E7C" w:rsidRPr="00396298">
              <w:rPr>
                <w:rStyle w:val="Hiperpovezava"/>
                <w:noProof/>
              </w:rPr>
              <w:t>Zaključek</w:t>
            </w:r>
            <w:r w:rsidR="00E41E7C">
              <w:rPr>
                <w:noProof/>
                <w:webHidden/>
              </w:rPr>
              <w:tab/>
            </w:r>
            <w:r w:rsidR="00E41E7C">
              <w:rPr>
                <w:noProof/>
                <w:webHidden/>
              </w:rPr>
              <w:fldChar w:fldCharType="begin"/>
            </w:r>
            <w:r w:rsidR="00E41E7C">
              <w:rPr>
                <w:noProof/>
                <w:webHidden/>
              </w:rPr>
              <w:instrText xml:space="preserve"> PAGEREF _Toc227678378 \h </w:instrText>
            </w:r>
            <w:r w:rsidR="00E41E7C">
              <w:rPr>
                <w:noProof/>
                <w:webHidden/>
              </w:rPr>
            </w:r>
            <w:r w:rsidR="00E41E7C">
              <w:rPr>
                <w:noProof/>
                <w:webHidden/>
              </w:rPr>
              <w:fldChar w:fldCharType="separate"/>
            </w:r>
            <w:r w:rsidR="00E41E7C">
              <w:rPr>
                <w:noProof/>
                <w:webHidden/>
              </w:rPr>
              <w:t>45</w:t>
            </w:r>
            <w:r w:rsidR="00E41E7C">
              <w:rPr>
                <w:noProof/>
                <w:webHidden/>
              </w:rPr>
              <w:fldChar w:fldCharType="end"/>
            </w:r>
          </w:hyperlink>
        </w:p>
        <w:p w:rsidR="00E41E7C" w:rsidRDefault="003E40DE">
          <w:pPr>
            <w:pStyle w:val="Kazalovsebine1"/>
            <w:tabs>
              <w:tab w:val="left" w:pos="400"/>
              <w:tab w:val="right" w:leader="dot" w:pos="9010"/>
            </w:tabs>
            <w:rPr>
              <w:b w:val="0"/>
              <w:bCs w:val="0"/>
              <w:i w:val="0"/>
              <w:iCs w:val="0"/>
              <w:noProof/>
              <w:kern w:val="2"/>
              <w:lang w:eastAsia="en-GB"/>
              <w14:ligatures w14:val="standardContextual"/>
            </w:rPr>
          </w:pPr>
          <w:hyperlink w:anchor="_Toc227678379" w:history="1">
            <w:r w:rsidR="00E41E7C" w:rsidRPr="00396298">
              <w:rPr>
                <w:rStyle w:val="Hiperpovezava"/>
                <w:noProof/>
              </w:rPr>
              <w:t>4</w:t>
            </w:r>
            <w:r w:rsidR="00E41E7C">
              <w:rPr>
                <w:b w:val="0"/>
                <w:bCs w:val="0"/>
                <w:i w:val="0"/>
                <w:iCs w:val="0"/>
                <w:noProof/>
                <w:kern w:val="2"/>
                <w:lang w:eastAsia="en-GB"/>
                <w14:ligatures w14:val="standardContextual"/>
              </w:rPr>
              <w:tab/>
            </w:r>
            <w:r w:rsidR="00E41E7C" w:rsidRPr="00396298">
              <w:rPr>
                <w:rStyle w:val="Hiperpovezava"/>
                <w:noProof/>
              </w:rPr>
              <w:t>Literatura</w:t>
            </w:r>
            <w:r w:rsidR="00E41E7C">
              <w:rPr>
                <w:noProof/>
                <w:webHidden/>
              </w:rPr>
              <w:tab/>
            </w:r>
            <w:r w:rsidR="00E41E7C">
              <w:rPr>
                <w:noProof/>
                <w:webHidden/>
              </w:rPr>
              <w:fldChar w:fldCharType="begin"/>
            </w:r>
            <w:r w:rsidR="00E41E7C">
              <w:rPr>
                <w:noProof/>
                <w:webHidden/>
              </w:rPr>
              <w:instrText xml:space="preserve"> PAGEREF _Toc227678379 \h </w:instrText>
            </w:r>
            <w:r w:rsidR="00E41E7C">
              <w:rPr>
                <w:noProof/>
                <w:webHidden/>
              </w:rPr>
            </w:r>
            <w:r w:rsidR="00E41E7C">
              <w:rPr>
                <w:noProof/>
                <w:webHidden/>
              </w:rPr>
              <w:fldChar w:fldCharType="separate"/>
            </w:r>
            <w:r w:rsidR="00E41E7C">
              <w:rPr>
                <w:noProof/>
                <w:webHidden/>
              </w:rPr>
              <w:t>46</w:t>
            </w:r>
            <w:r w:rsidR="00E41E7C">
              <w:rPr>
                <w:noProof/>
                <w:webHidden/>
              </w:rPr>
              <w:fldChar w:fldCharType="end"/>
            </w:r>
          </w:hyperlink>
        </w:p>
        <w:p w:rsidR="00E41E7C" w:rsidRDefault="003E40DE">
          <w:pPr>
            <w:pStyle w:val="Kazalovsebine1"/>
            <w:tabs>
              <w:tab w:val="right" w:leader="dot" w:pos="9010"/>
            </w:tabs>
            <w:rPr>
              <w:b w:val="0"/>
              <w:bCs w:val="0"/>
              <w:i w:val="0"/>
              <w:iCs w:val="0"/>
              <w:noProof/>
              <w:kern w:val="2"/>
              <w:lang w:eastAsia="en-GB"/>
              <w14:ligatures w14:val="standardContextual"/>
            </w:rPr>
          </w:pPr>
          <w:hyperlink w:anchor="_Toc227678380" w:history="1">
            <w:r w:rsidR="00E41E7C" w:rsidRPr="00396298">
              <w:rPr>
                <w:rStyle w:val="Hiperpovezava"/>
                <w:noProof/>
              </w:rPr>
              <w:t>Predstavitev avtoric</w:t>
            </w:r>
            <w:r w:rsidR="00E41E7C">
              <w:rPr>
                <w:noProof/>
                <w:webHidden/>
              </w:rPr>
              <w:tab/>
            </w:r>
            <w:r w:rsidR="00E41E7C">
              <w:rPr>
                <w:noProof/>
                <w:webHidden/>
              </w:rPr>
              <w:fldChar w:fldCharType="begin"/>
            </w:r>
            <w:r w:rsidR="00E41E7C">
              <w:rPr>
                <w:noProof/>
                <w:webHidden/>
              </w:rPr>
              <w:instrText xml:space="preserve"> PAGEREF _Toc227678380 \h </w:instrText>
            </w:r>
            <w:r w:rsidR="00E41E7C">
              <w:rPr>
                <w:noProof/>
                <w:webHidden/>
              </w:rPr>
            </w:r>
            <w:r w:rsidR="00E41E7C">
              <w:rPr>
                <w:noProof/>
                <w:webHidden/>
              </w:rPr>
              <w:fldChar w:fldCharType="separate"/>
            </w:r>
            <w:r w:rsidR="00E41E7C">
              <w:rPr>
                <w:noProof/>
                <w:webHidden/>
              </w:rPr>
              <w:t>50</w:t>
            </w:r>
            <w:r w:rsidR="00E41E7C">
              <w:rPr>
                <w:noProof/>
                <w:webHidden/>
              </w:rPr>
              <w:fldChar w:fldCharType="end"/>
            </w:r>
          </w:hyperlink>
        </w:p>
        <w:p w:rsidR="003D47D4" w:rsidRPr="00BD3DDF" w:rsidRDefault="003D47D4" w:rsidP="003D47D4">
          <w:r w:rsidRPr="00BD3DDF">
            <w:rPr>
              <w:b/>
              <w:bCs/>
              <w:i/>
              <w:iCs/>
              <w:szCs w:val="24"/>
            </w:rPr>
            <w:fldChar w:fldCharType="end"/>
          </w:r>
        </w:p>
      </w:sdtContent>
    </w:sdt>
    <w:p w:rsidR="00DC1D74" w:rsidRPr="00BD3DDF" w:rsidRDefault="00DC1D74" w:rsidP="0091245D">
      <w:pPr>
        <w:sectPr w:rsidR="00DC1D74" w:rsidRPr="00BD3DDF" w:rsidSect="008D3FDF">
          <w:headerReference w:type="default" r:id="rId15"/>
          <w:footerReference w:type="default" r:id="rId16"/>
          <w:pgSz w:w="11900" w:h="16840"/>
          <w:pgMar w:top="1134" w:right="1440" w:bottom="1440" w:left="1440" w:header="708" w:footer="708" w:gutter="0"/>
          <w:pgNumType w:fmt="lowerRoman" w:start="1"/>
          <w:cols w:space="708"/>
          <w:docGrid w:linePitch="360"/>
        </w:sectPr>
      </w:pPr>
    </w:p>
    <w:p w:rsidR="00837949" w:rsidRPr="00BD3DDF" w:rsidRDefault="00704F17" w:rsidP="003D47D4">
      <w:pPr>
        <w:pStyle w:val="Naslov1"/>
      </w:pPr>
      <w:bookmarkStart w:id="5" w:name="_Toc169764588"/>
      <w:bookmarkStart w:id="6" w:name="_Toc227678348"/>
      <w:r w:rsidRPr="00BD3DDF">
        <w:lastRenderedPageBreak/>
        <w:t>Uvod</w:t>
      </w:r>
      <w:r w:rsidR="00AA027C" w:rsidRPr="00BD3DDF">
        <w:t xml:space="preserve"> - </w:t>
      </w:r>
      <w:r w:rsidRPr="00BD3DDF">
        <w:t>kvantitativn</w:t>
      </w:r>
      <w:r w:rsidR="00AA027C" w:rsidRPr="00BD3DDF">
        <w:t>a</w:t>
      </w:r>
      <w:r w:rsidRPr="00BD3DDF">
        <w:t xml:space="preserve"> </w:t>
      </w:r>
      <w:r w:rsidR="002F5D83" w:rsidRPr="00BD3DDF">
        <w:t>analiz</w:t>
      </w:r>
      <w:bookmarkEnd w:id="5"/>
      <w:r w:rsidR="003D47D4" w:rsidRPr="00BD3DDF">
        <w:t>a</w:t>
      </w:r>
      <w:bookmarkEnd w:id="6"/>
    </w:p>
    <w:p w:rsidR="002F5D83" w:rsidRPr="00BD3DDF" w:rsidRDefault="00B250E5" w:rsidP="003D47D4">
      <w:pPr>
        <w:pStyle w:val="Naslov2"/>
      </w:pPr>
      <w:bookmarkStart w:id="7" w:name="_Toc169764589"/>
      <w:bookmarkStart w:id="8" w:name="_Toc227678349"/>
      <w:r w:rsidRPr="00BD3DDF">
        <w:t>Projekt Case Law</w:t>
      </w:r>
      <w:bookmarkEnd w:id="7"/>
      <w:bookmarkEnd w:id="8"/>
    </w:p>
    <w:p w:rsidR="000023D4" w:rsidRPr="00BD3DDF" w:rsidRDefault="000023D4" w:rsidP="00F513FD">
      <w:pPr>
        <w:rPr>
          <w:szCs w:val="24"/>
        </w:rPr>
      </w:pPr>
      <w:r w:rsidRPr="00BD3DDF">
        <w:rPr>
          <w:szCs w:val="24"/>
        </w:rPr>
        <w:t xml:space="preserve">Avtorsko pravo EU ureja 13 direktiv in dve uredbi, katerih namen je harmonizirati temeljne pravice avtorjev, izvajalcev, producentov in izdajateljev televizijskih programov. V okviru pravic industrijske lastnine </w:t>
      </w:r>
      <w:r w:rsidR="00E07A9F" w:rsidRPr="00BD3DDF">
        <w:rPr>
          <w:szCs w:val="24"/>
        </w:rPr>
        <w:t xml:space="preserve">pa </w:t>
      </w:r>
      <w:r w:rsidRPr="00BD3DDF">
        <w:rPr>
          <w:szCs w:val="24"/>
        </w:rPr>
        <w:t xml:space="preserve">pravo EU ureja modele in znamke, v širšem smislu pa spada </w:t>
      </w:r>
      <w:r w:rsidR="00A813E5" w:rsidRPr="00BD3DDF">
        <w:rPr>
          <w:szCs w:val="24"/>
        </w:rPr>
        <w:t xml:space="preserve">sem </w:t>
      </w:r>
      <w:r w:rsidRPr="00BD3DDF">
        <w:rPr>
          <w:szCs w:val="24"/>
        </w:rPr>
        <w:t xml:space="preserve">tudi varstvo poslovne skrivnosti. </w:t>
      </w:r>
    </w:p>
    <w:p w:rsidR="00A813E5" w:rsidRPr="00BD3DDF" w:rsidRDefault="00235532" w:rsidP="002033FA">
      <w:pPr>
        <w:rPr>
          <w:szCs w:val="24"/>
        </w:rPr>
      </w:pPr>
      <w:r w:rsidRPr="00BD3DDF">
        <w:rPr>
          <w:szCs w:val="24"/>
        </w:rPr>
        <w:t>Da lahko preveri</w:t>
      </w:r>
      <w:r w:rsidR="00A813E5" w:rsidRPr="00BD3DDF">
        <w:rPr>
          <w:szCs w:val="24"/>
        </w:rPr>
        <w:t>mo</w:t>
      </w:r>
      <w:r w:rsidRPr="00BD3DDF">
        <w:rPr>
          <w:szCs w:val="24"/>
        </w:rPr>
        <w:t xml:space="preserve">, ali države članice upoštevajo pravo EU ne samo na ravni sprejemanja zakonov, temveč tudi na ravni odločanja v konkretnih primerih, je </w:t>
      </w:r>
      <w:r w:rsidR="00A813E5" w:rsidRPr="00BD3DDF">
        <w:rPr>
          <w:szCs w:val="24"/>
        </w:rPr>
        <w:t xml:space="preserve">nujno kontinuirano </w:t>
      </w:r>
      <w:r w:rsidRPr="00BD3DDF">
        <w:rPr>
          <w:szCs w:val="24"/>
        </w:rPr>
        <w:t xml:space="preserve">spremljanje in primerjanje sodne prakse nacionalnih sodišč. </w:t>
      </w:r>
      <w:r w:rsidR="002033FA" w:rsidRPr="00BD3DDF">
        <w:rPr>
          <w:szCs w:val="24"/>
        </w:rPr>
        <w:t>Evropski observatorij za kršitve pravic intelektualne lastnine kot del EUIPO na tem področju izvaja vrsto dejavnosti, ki med</w:t>
      </w:r>
      <w:r w:rsidR="005545E1" w:rsidRPr="00BD3DDF">
        <w:rPr>
          <w:szCs w:val="24"/>
        </w:rPr>
        <w:t xml:space="preserve"> drugim</w:t>
      </w:r>
      <w:r w:rsidR="002033FA" w:rsidRPr="00BD3DDF">
        <w:rPr>
          <w:szCs w:val="24"/>
        </w:rPr>
        <w:t xml:space="preserve"> vključujejo zbiranje ključnih nacionalnih sodnih odločb o uveljavljanju pravic intelektualne lastnine. Ključne odločitve so javno dostopne v enotnem </w:t>
      </w:r>
      <w:proofErr w:type="spellStart"/>
      <w:r w:rsidR="002033FA" w:rsidRPr="00BD3DDF">
        <w:rPr>
          <w:szCs w:val="24"/>
        </w:rPr>
        <w:t>repozitoriju</w:t>
      </w:r>
      <w:proofErr w:type="spellEnd"/>
      <w:r w:rsidR="002033FA" w:rsidRPr="00BD3DDF">
        <w:rPr>
          <w:szCs w:val="24"/>
        </w:rPr>
        <w:t xml:space="preserve"> z možnostjo iskanja (</w:t>
      </w:r>
      <w:bookmarkStart w:id="9" w:name="_Hlk227530853"/>
      <w:r w:rsidR="002033FA" w:rsidRPr="00BD3DDF">
        <w:rPr>
          <w:szCs w:val="24"/>
        </w:rPr>
        <w:t xml:space="preserve">podatkovna zbirka </w:t>
      </w:r>
      <w:hyperlink r:id="rId17" w:history="1">
        <w:proofErr w:type="spellStart"/>
        <w:r w:rsidR="002033FA" w:rsidRPr="00BD3DDF">
          <w:rPr>
            <w:rStyle w:val="Hiperpovezava"/>
            <w:szCs w:val="24"/>
          </w:rPr>
          <w:t>eSearch</w:t>
        </w:r>
        <w:proofErr w:type="spellEnd"/>
        <w:r w:rsidR="002033FA" w:rsidRPr="00BD3DDF">
          <w:rPr>
            <w:rStyle w:val="Hiperpovezava"/>
            <w:szCs w:val="24"/>
          </w:rPr>
          <w:t xml:space="preserve"> </w:t>
        </w:r>
        <w:proofErr w:type="spellStart"/>
        <w:r w:rsidR="002033FA" w:rsidRPr="00BD3DDF">
          <w:rPr>
            <w:rStyle w:val="Hiperpovezava"/>
            <w:szCs w:val="24"/>
          </w:rPr>
          <w:t>Case</w:t>
        </w:r>
        <w:proofErr w:type="spellEnd"/>
        <w:r w:rsidR="002033FA" w:rsidRPr="00BD3DDF">
          <w:rPr>
            <w:rStyle w:val="Hiperpovezava"/>
            <w:szCs w:val="24"/>
          </w:rPr>
          <w:t xml:space="preserve"> </w:t>
        </w:r>
        <w:proofErr w:type="spellStart"/>
        <w:r w:rsidR="002033FA" w:rsidRPr="00BD3DDF">
          <w:rPr>
            <w:rStyle w:val="Hiperpovezava"/>
            <w:szCs w:val="24"/>
          </w:rPr>
          <w:t>Law</w:t>
        </w:r>
        <w:proofErr w:type="spellEnd"/>
      </w:hyperlink>
      <w:r w:rsidR="002033FA" w:rsidRPr="00BD3DDF">
        <w:rPr>
          <w:szCs w:val="24"/>
        </w:rPr>
        <w:t>).</w:t>
      </w:r>
      <w:r w:rsidR="002033FA" w:rsidRPr="00BD3DDF">
        <w:rPr>
          <w:rStyle w:val="Sprotnaopomba-sklic"/>
          <w:szCs w:val="24"/>
        </w:rPr>
        <w:footnoteReference w:id="2"/>
      </w:r>
      <w:r w:rsidR="002033FA" w:rsidRPr="00BD3DDF">
        <w:rPr>
          <w:szCs w:val="24"/>
        </w:rPr>
        <w:t xml:space="preserve"> </w:t>
      </w:r>
      <w:bookmarkEnd w:id="9"/>
    </w:p>
    <w:p w:rsidR="002033FA" w:rsidRPr="00BD3DDF" w:rsidRDefault="002033FA" w:rsidP="002033FA">
      <w:pPr>
        <w:rPr>
          <w:szCs w:val="24"/>
        </w:rPr>
      </w:pPr>
      <w:r w:rsidRPr="00BD3DDF">
        <w:rPr>
          <w:szCs w:val="24"/>
        </w:rPr>
        <w:t xml:space="preserve">V Sloveniji </w:t>
      </w:r>
      <w:r w:rsidR="00CA4C6E" w:rsidRPr="00BD3DDF">
        <w:rPr>
          <w:szCs w:val="24"/>
        </w:rPr>
        <w:t xml:space="preserve">se projekti zbiranja in analize ključnih sodnih odločb izvajajo za obdobje od leta 2006 naprej. Doslej je bilo objavljenih </w:t>
      </w:r>
      <w:r w:rsidR="00E07A9F" w:rsidRPr="00BD3DDF">
        <w:rPr>
          <w:szCs w:val="24"/>
        </w:rPr>
        <w:t>sedem</w:t>
      </w:r>
      <w:r w:rsidR="00CA4C6E" w:rsidRPr="00BD3DDF">
        <w:rPr>
          <w:szCs w:val="24"/>
        </w:rPr>
        <w:t xml:space="preserve"> analiz,</w:t>
      </w:r>
      <w:r w:rsidR="00CA4C6E" w:rsidRPr="00BD3DDF">
        <w:rPr>
          <w:rStyle w:val="Sprotnaopomba-sklic"/>
          <w:szCs w:val="24"/>
        </w:rPr>
        <w:footnoteReference w:id="3"/>
      </w:r>
      <w:r w:rsidR="00CA4C6E" w:rsidRPr="00BD3DDF">
        <w:rPr>
          <w:szCs w:val="24"/>
        </w:rPr>
        <w:t xml:space="preserve"> pričujoča analiza pa je </w:t>
      </w:r>
      <w:r w:rsidR="00E07A9F" w:rsidRPr="00BD3DDF">
        <w:rPr>
          <w:szCs w:val="24"/>
        </w:rPr>
        <w:t xml:space="preserve">osma </w:t>
      </w:r>
      <w:r w:rsidR="00CA4C6E" w:rsidRPr="00BD3DDF">
        <w:rPr>
          <w:szCs w:val="24"/>
        </w:rPr>
        <w:t xml:space="preserve">po vrsti. V zadnjih petih </w:t>
      </w:r>
      <w:r w:rsidR="005545E1" w:rsidRPr="00BD3DDF">
        <w:rPr>
          <w:szCs w:val="24"/>
        </w:rPr>
        <w:t xml:space="preserve">letih </w:t>
      </w:r>
      <w:r w:rsidR="00CA4C6E" w:rsidRPr="00BD3DDF">
        <w:rPr>
          <w:szCs w:val="24"/>
        </w:rPr>
        <w:t>se analize izvajajo na letni ravni.</w:t>
      </w:r>
    </w:p>
    <w:p w:rsidR="005545E1" w:rsidRPr="00BD3DDF" w:rsidRDefault="00D61D73" w:rsidP="005545E1">
      <w:pPr>
        <w:spacing w:after="0"/>
        <w:rPr>
          <w:szCs w:val="24"/>
        </w:rPr>
      </w:pPr>
      <w:r w:rsidRPr="00BD3DDF">
        <w:rPr>
          <w:szCs w:val="24"/>
        </w:rPr>
        <w:t xml:space="preserve">Analiza je razdeljena </w:t>
      </w:r>
      <w:r w:rsidR="005545E1" w:rsidRPr="00BD3DDF">
        <w:rPr>
          <w:szCs w:val="24"/>
        </w:rPr>
        <w:t>na dva dela</w:t>
      </w:r>
      <w:r w:rsidRPr="00BD3DDF">
        <w:rPr>
          <w:szCs w:val="24"/>
        </w:rPr>
        <w:t>: v prvem</w:t>
      </w:r>
      <w:r w:rsidR="00704F17" w:rsidRPr="00BD3DDF">
        <w:rPr>
          <w:szCs w:val="24"/>
        </w:rPr>
        <w:t xml:space="preserve"> uvodnem</w:t>
      </w:r>
      <w:r w:rsidRPr="00BD3DDF">
        <w:rPr>
          <w:szCs w:val="24"/>
        </w:rPr>
        <w:t xml:space="preserve"> delu </w:t>
      </w:r>
      <w:r w:rsidR="005545E1" w:rsidRPr="00BD3DDF">
        <w:rPr>
          <w:szCs w:val="24"/>
        </w:rPr>
        <w:t>je za lažje razumevanje dinamike in trendov</w:t>
      </w:r>
      <w:r w:rsidR="002F7419" w:rsidRPr="00BD3DDF">
        <w:rPr>
          <w:szCs w:val="24"/>
        </w:rPr>
        <w:t xml:space="preserve"> </w:t>
      </w:r>
      <w:r w:rsidR="005545E1" w:rsidRPr="00BD3DDF">
        <w:rPr>
          <w:szCs w:val="24"/>
        </w:rPr>
        <w:t>predstavljena</w:t>
      </w:r>
      <w:r w:rsidRPr="00BD3DDF">
        <w:rPr>
          <w:szCs w:val="24"/>
        </w:rPr>
        <w:t xml:space="preserve"> kval</w:t>
      </w:r>
      <w:r w:rsidR="00AD5F0B" w:rsidRPr="00BD3DDF">
        <w:rPr>
          <w:szCs w:val="24"/>
        </w:rPr>
        <w:t>i</w:t>
      </w:r>
      <w:r w:rsidRPr="00BD3DDF">
        <w:rPr>
          <w:szCs w:val="24"/>
        </w:rPr>
        <w:t>tativn</w:t>
      </w:r>
      <w:r w:rsidR="005545E1" w:rsidRPr="00BD3DDF">
        <w:rPr>
          <w:szCs w:val="24"/>
        </w:rPr>
        <w:t>a</w:t>
      </w:r>
      <w:r w:rsidRPr="00BD3DDF">
        <w:rPr>
          <w:szCs w:val="24"/>
        </w:rPr>
        <w:t xml:space="preserve"> analiz</w:t>
      </w:r>
      <w:r w:rsidR="005545E1" w:rsidRPr="00BD3DDF">
        <w:rPr>
          <w:szCs w:val="24"/>
        </w:rPr>
        <w:t>a</w:t>
      </w:r>
      <w:r w:rsidRPr="00BD3DDF">
        <w:rPr>
          <w:szCs w:val="24"/>
        </w:rPr>
        <w:t xml:space="preserve"> sodnega uveljavljanja pravic intelektualne lastnine v Republiki Sloveniji</w:t>
      </w:r>
      <w:r w:rsidR="002F7419" w:rsidRPr="00BD3DDF">
        <w:rPr>
          <w:szCs w:val="24"/>
        </w:rPr>
        <w:t>,</w:t>
      </w:r>
      <w:r w:rsidRPr="00BD3DDF">
        <w:rPr>
          <w:szCs w:val="24"/>
        </w:rPr>
        <w:t xml:space="preserve"> </w:t>
      </w:r>
      <w:r w:rsidR="005545E1" w:rsidRPr="00BD3DDF">
        <w:rPr>
          <w:szCs w:val="24"/>
        </w:rPr>
        <w:t>drugi del pa vsebuje</w:t>
      </w:r>
      <w:r w:rsidRPr="00BD3DDF">
        <w:rPr>
          <w:szCs w:val="24"/>
        </w:rPr>
        <w:t xml:space="preserve"> zbirko sodne prakse v obliki povzetkov ključnih odločitev</w:t>
      </w:r>
      <w:r w:rsidR="005545E1" w:rsidRPr="00BD3DDF">
        <w:rPr>
          <w:szCs w:val="24"/>
        </w:rPr>
        <w:t xml:space="preserve">. V posamezni zadevi so ob upoštevanju relevantnih določb nacionalnega in EU prava predstavljena stališča sodišč. Namen komentarjev k posameznim sodnim </w:t>
      </w:r>
      <w:r w:rsidR="005545E1" w:rsidRPr="00BD3DDF">
        <w:rPr>
          <w:szCs w:val="24"/>
        </w:rPr>
        <w:lastRenderedPageBreak/>
        <w:t>odločbam je spodbuditi teoretično razpravo o interpretaciji zakonskih določb, ki jih je uporabilo sodišče v konkretnem sodnem sporu.</w:t>
      </w:r>
    </w:p>
    <w:p w:rsidR="002F5D83" w:rsidRPr="00BD3DDF" w:rsidRDefault="002F5D83" w:rsidP="0091245D">
      <w:pPr>
        <w:rPr>
          <w:szCs w:val="24"/>
        </w:rPr>
      </w:pPr>
    </w:p>
    <w:p w:rsidR="005A7152" w:rsidRPr="00BD3DDF" w:rsidRDefault="005A7152">
      <w:pPr>
        <w:rPr>
          <w:caps/>
          <w:spacing w:val="15"/>
          <w:sz w:val="22"/>
          <w:szCs w:val="22"/>
        </w:rPr>
      </w:pPr>
      <w:bookmarkStart w:id="11" w:name="_Toc169764590"/>
      <w:r w:rsidRPr="00BD3DDF">
        <w:br w:type="page"/>
      </w:r>
    </w:p>
    <w:p w:rsidR="002F5D83" w:rsidRPr="00BD3DDF" w:rsidRDefault="002F5D83" w:rsidP="003D47D4">
      <w:pPr>
        <w:pStyle w:val="Naslov2"/>
      </w:pPr>
      <w:bookmarkStart w:id="12" w:name="_Toc227678350"/>
      <w:r w:rsidRPr="00BD3DDF">
        <w:lastRenderedPageBreak/>
        <w:t>Metodologija</w:t>
      </w:r>
      <w:bookmarkEnd w:id="11"/>
      <w:bookmarkEnd w:id="12"/>
    </w:p>
    <w:p w:rsidR="00350DEB" w:rsidRPr="00BD3DDF" w:rsidRDefault="00873BE2" w:rsidP="00350DEB">
      <w:pPr>
        <w:rPr>
          <w:szCs w:val="24"/>
        </w:rPr>
      </w:pPr>
      <w:r w:rsidRPr="00BD3DDF">
        <w:rPr>
          <w:szCs w:val="24"/>
        </w:rPr>
        <w:t xml:space="preserve">Analiza uveljavljanja pravic intelektualne lastnine je najprej zahtevala zbiranje podatkov o sodnih primerih na tem področju v Sloveniji. </w:t>
      </w:r>
      <w:r w:rsidR="00350DEB" w:rsidRPr="00BD3DDF">
        <w:rPr>
          <w:szCs w:val="24"/>
        </w:rPr>
        <w:t xml:space="preserve">Namen analize je bil poiskati ključne sodne odločbe s tega področja. Ustrezne odločbe so bile tiste, ki so vključevale vprašanja (domnevnih) kršitev pravic </w:t>
      </w:r>
      <w:r w:rsidR="00B972E7" w:rsidRPr="00BD3DDF">
        <w:rPr>
          <w:szCs w:val="24"/>
        </w:rPr>
        <w:t>intelektualne</w:t>
      </w:r>
      <w:r w:rsidR="00350DEB" w:rsidRPr="00BD3DDF">
        <w:rPr>
          <w:szCs w:val="24"/>
        </w:rPr>
        <w:t xml:space="preserve"> lastnine. Kot </w:t>
      </w:r>
      <w:r w:rsidR="00350DEB" w:rsidRPr="00BD3DDF">
        <w:rPr>
          <w:b/>
          <w:bCs/>
          <w:szCs w:val="24"/>
        </w:rPr>
        <w:t xml:space="preserve">ključne </w:t>
      </w:r>
      <w:r w:rsidR="00350DEB" w:rsidRPr="00BD3DDF">
        <w:rPr>
          <w:szCs w:val="24"/>
        </w:rPr>
        <w:t>sva izbrali odločbe, ki:</w:t>
      </w:r>
    </w:p>
    <w:p w:rsidR="00350DEB" w:rsidRPr="00BD3DDF" w:rsidRDefault="00350DEB" w:rsidP="00350DEB">
      <w:pPr>
        <w:pStyle w:val="Odstavekseznama"/>
        <w:numPr>
          <w:ilvl w:val="0"/>
          <w:numId w:val="10"/>
        </w:numPr>
        <w:rPr>
          <w:szCs w:val="24"/>
        </w:rPr>
      </w:pPr>
      <w:r w:rsidRPr="00BD3DDF">
        <w:rPr>
          <w:szCs w:val="24"/>
        </w:rPr>
        <w:t xml:space="preserve">vsebujejo pomembnejše materialnopravne odločitve v zvezi z uveljavljanjem pravic intelektualne lastnine in </w:t>
      </w:r>
    </w:p>
    <w:p w:rsidR="00350DEB" w:rsidRPr="00BD3DDF" w:rsidRDefault="00350DEB" w:rsidP="00350DEB">
      <w:pPr>
        <w:pStyle w:val="Odstavekseznama"/>
        <w:numPr>
          <w:ilvl w:val="0"/>
          <w:numId w:val="10"/>
        </w:numPr>
        <w:rPr>
          <w:szCs w:val="24"/>
        </w:rPr>
      </w:pPr>
      <w:r w:rsidRPr="00BD3DDF">
        <w:rPr>
          <w:szCs w:val="24"/>
        </w:rPr>
        <w:t>pomenijo nov vidik v sodni praksi ali zaokroženo celoto dotedanje sodne prakse</w:t>
      </w:r>
      <w:r w:rsidR="00B250E5" w:rsidRPr="00BD3DDF">
        <w:rPr>
          <w:szCs w:val="24"/>
        </w:rPr>
        <w:t>,</w:t>
      </w:r>
      <w:r w:rsidRPr="00BD3DDF">
        <w:rPr>
          <w:szCs w:val="24"/>
        </w:rPr>
        <w:t xml:space="preserve"> oziroma ki </w:t>
      </w:r>
    </w:p>
    <w:p w:rsidR="00350DEB" w:rsidRPr="00BD3DDF" w:rsidRDefault="00350DEB" w:rsidP="00350DEB">
      <w:pPr>
        <w:pStyle w:val="Odstavekseznama"/>
        <w:numPr>
          <w:ilvl w:val="0"/>
          <w:numId w:val="10"/>
        </w:numPr>
        <w:rPr>
          <w:szCs w:val="24"/>
        </w:rPr>
      </w:pPr>
      <w:r w:rsidRPr="00BD3DDF">
        <w:rPr>
          <w:szCs w:val="24"/>
        </w:rPr>
        <w:t>vplivajo na položaj širšega kroga imetnikov pravic.</w:t>
      </w:r>
    </w:p>
    <w:p w:rsidR="00D81C49" w:rsidRPr="00BD3DDF" w:rsidRDefault="00873BE2" w:rsidP="00350DEB">
      <w:pPr>
        <w:rPr>
          <w:szCs w:val="24"/>
        </w:rPr>
      </w:pPr>
      <w:r w:rsidRPr="00BD3DDF">
        <w:rPr>
          <w:szCs w:val="24"/>
        </w:rPr>
        <w:t xml:space="preserve">V </w:t>
      </w:r>
      <w:r w:rsidR="00350DEB" w:rsidRPr="00BD3DDF">
        <w:rPr>
          <w:szCs w:val="24"/>
        </w:rPr>
        <w:t>ta namen sva</w:t>
      </w:r>
      <w:r w:rsidRPr="00BD3DDF">
        <w:rPr>
          <w:szCs w:val="24"/>
        </w:rPr>
        <w:t>:</w:t>
      </w:r>
    </w:p>
    <w:p w:rsidR="00873BE2" w:rsidRPr="00BD3DDF" w:rsidRDefault="00873BE2" w:rsidP="00350DEB">
      <w:pPr>
        <w:pStyle w:val="Odstavekseznama"/>
        <w:numPr>
          <w:ilvl w:val="0"/>
          <w:numId w:val="11"/>
        </w:numPr>
        <w:rPr>
          <w:szCs w:val="24"/>
        </w:rPr>
      </w:pPr>
      <w:r w:rsidRPr="00BD3DDF">
        <w:rPr>
          <w:szCs w:val="24"/>
        </w:rPr>
        <w:t>zb</w:t>
      </w:r>
      <w:r w:rsidR="00350DEB" w:rsidRPr="00BD3DDF">
        <w:rPr>
          <w:szCs w:val="24"/>
        </w:rPr>
        <w:t>rali</w:t>
      </w:r>
      <w:r w:rsidRPr="00BD3DDF">
        <w:rPr>
          <w:szCs w:val="24"/>
        </w:rPr>
        <w:t xml:space="preserve"> vse sod</w:t>
      </w:r>
      <w:r w:rsidR="00350DEB" w:rsidRPr="00BD3DDF">
        <w:rPr>
          <w:szCs w:val="24"/>
        </w:rPr>
        <w:t>ne odločbe</w:t>
      </w:r>
      <w:r w:rsidRPr="00BD3DDF">
        <w:rPr>
          <w:szCs w:val="24"/>
        </w:rPr>
        <w:t>, ki vključujejo spore v zvezi z uveljavljanjem pravic intelektualne lastnine v skladu z veljavno nacionalno zakonodajo</w:t>
      </w:r>
      <w:r w:rsidR="00350DEB" w:rsidRPr="00BD3DDF">
        <w:rPr>
          <w:szCs w:val="24"/>
        </w:rPr>
        <w:t xml:space="preserve">. Sodbe sva iskali s pregledom </w:t>
      </w:r>
      <w:r w:rsidR="00B972E7" w:rsidRPr="00BD3DDF">
        <w:rPr>
          <w:szCs w:val="24"/>
        </w:rPr>
        <w:t>tovrstnim</w:t>
      </w:r>
      <w:r w:rsidR="00350DEB" w:rsidRPr="00BD3DDF">
        <w:rPr>
          <w:szCs w:val="24"/>
        </w:rPr>
        <w:t xml:space="preserve"> sporom namenjenega vpisnika gospodarskega oddelka Višjega sodišča v Ljubljani (VSL), po bazah sodnih odločb</w:t>
      </w:r>
      <w:r w:rsidR="00350DEB" w:rsidRPr="00BD3DDF">
        <w:t xml:space="preserve">, </w:t>
      </w:r>
      <w:r w:rsidR="001A749B" w:rsidRPr="00BD3DDF">
        <w:rPr>
          <w:szCs w:val="24"/>
        </w:rPr>
        <w:t xml:space="preserve">kot sta </w:t>
      </w:r>
      <w:bookmarkStart w:id="13" w:name="_Hlk227530891"/>
      <w:r w:rsidR="001A749B" w:rsidRPr="00BD3DDF">
        <w:rPr>
          <w:szCs w:val="24"/>
        </w:rPr>
        <w:t>www.sodnapraksa.si</w:t>
      </w:r>
      <w:r w:rsidR="00350DEB" w:rsidRPr="00BD3DDF">
        <w:rPr>
          <w:szCs w:val="24"/>
        </w:rPr>
        <w:t xml:space="preserve"> </w:t>
      </w:r>
      <w:r w:rsidR="001A749B" w:rsidRPr="00BD3DDF">
        <w:rPr>
          <w:szCs w:val="24"/>
        </w:rPr>
        <w:t>in</w:t>
      </w:r>
      <w:r w:rsidR="00350DEB" w:rsidRPr="00BD3DDF">
        <w:rPr>
          <w:szCs w:val="24"/>
        </w:rPr>
        <w:t xml:space="preserve"> www.iusinfo.si</w:t>
      </w:r>
      <w:r w:rsidR="001A749B" w:rsidRPr="00BD3DDF">
        <w:rPr>
          <w:szCs w:val="24"/>
        </w:rPr>
        <w:t>,</w:t>
      </w:r>
      <w:r w:rsidR="00350DEB" w:rsidRPr="00BD3DDF">
        <w:rPr>
          <w:szCs w:val="24"/>
        </w:rPr>
        <w:t xml:space="preserve"> </w:t>
      </w:r>
      <w:bookmarkEnd w:id="13"/>
      <w:r w:rsidR="00350DEB" w:rsidRPr="00BD3DDF">
        <w:rPr>
          <w:szCs w:val="24"/>
        </w:rPr>
        <w:t>ter s poizvedovanji med sodniki in strokovnimi sodelavci o aktualnih ključnih sodbah s tega področja.</w:t>
      </w:r>
    </w:p>
    <w:p w:rsidR="00873BE2" w:rsidRPr="00BD3DDF" w:rsidRDefault="00873BE2" w:rsidP="00350DEB">
      <w:pPr>
        <w:pStyle w:val="Odstavekseznama"/>
        <w:numPr>
          <w:ilvl w:val="0"/>
          <w:numId w:val="11"/>
        </w:numPr>
        <w:rPr>
          <w:szCs w:val="24"/>
        </w:rPr>
      </w:pPr>
      <w:r w:rsidRPr="00BD3DDF">
        <w:rPr>
          <w:szCs w:val="24"/>
        </w:rPr>
        <w:t>razvr</w:t>
      </w:r>
      <w:r w:rsidR="00350DEB" w:rsidRPr="00BD3DDF">
        <w:rPr>
          <w:szCs w:val="24"/>
        </w:rPr>
        <w:t>stili</w:t>
      </w:r>
      <w:r w:rsidRPr="00BD3DDF">
        <w:rPr>
          <w:szCs w:val="24"/>
        </w:rPr>
        <w:t xml:space="preserve"> sod</w:t>
      </w:r>
      <w:r w:rsidR="00350DEB" w:rsidRPr="00BD3DDF">
        <w:rPr>
          <w:szCs w:val="24"/>
        </w:rPr>
        <w:t>ne odločbe tako</w:t>
      </w:r>
      <w:r w:rsidRPr="00BD3DDF">
        <w:rPr>
          <w:szCs w:val="24"/>
        </w:rPr>
        <w:t xml:space="preserve">, da </w:t>
      </w:r>
      <w:r w:rsidR="00350DEB" w:rsidRPr="00BD3DDF">
        <w:rPr>
          <w:szCs w:val="24"/>
        </w:rPr>
        <w:t xml:space="preserve">sva </w:t>
      </w:r>
      <w:r w:rsidRPr="00BD3DDF">
        <w:rPr>
          <w:szCs w:val="24"/>
        </w:rPr>
        <w:t>izloči</w:t>
      </w:r>
      <w:r w:rsidR="00350DEB" w:rsidRPr="00BD3DDF">
        <w:rPr>
          <w:szCs w:val="24"/>
        </w:rPr>
        <w:t>li</w:t>
      </w:r>
      <w:r w:rsidRPr="00BD3DDF">
        <w:rPr>
          <w:szCs w:val="24"/>
        </w:rPr>
        <w:t xml:space="preserve"> vs</w:t>
      </w:r>
      <w:r w:rsidR="00350DEB" w:rsidRPr="00BD3DDF">
        <w:rPr>
          <w:szCs w:val="24"/>
        </w:rPr>
        <w:t xml:space="preserve">e </w:t>
      </w:r>
      <w:r w:rsidRPr="00BD3DDF">
        <w:rPr>
          <w:szCs w:val="24"/>
        </w:rPr>
        <w:t>primer</w:t>
      </w:r>
      <w:r w:rsidR="00350DEB" w:rsidRPr="00BD3DDF">
        <w:rPr>
          <w:szCs w:val="24"/>
        </w:rPr>
        <w:t>e</w:t>
      </w:r>
      <w:r w:rsidRPr="00BD3DDF">
        <w:rPr>
          <w:szCs w:val="24"/>
        </w:rPr>
        <w:t>, ki ne izpolnjujejo</w:t>
      </w:r>
      <w:r w:rsidR="00350DEB" w:rsidRPr="00BD3DDF">
        <w:rPr>
          <w:szCs w:val="24"/>
        </w:rPr>
        <w:t xml:space="preserve"> ustreznih</w:t>
      </w:r>
      <w:r w:rsidRPr="00BD3DDF">
        <w:rPr>
          <w:szCs w:val="24"/>
        </w:rPr>
        <w:t xml:space="preserve"> meril, ter </w:t>
      </w:r>
    </w:p>
    <w:p w:rsidR="00873BE2" w:rsidRPr="00BD3DDF" w:rsidRDefault="00350DEB" w:rsidP="00350DEB">
      <w:pPr>
        <w:pStyle w:val="Odstavekseznama"/>
        <w:numPr>
          <w:ilvl w:val="0"/>
          <w:numId w:val="11"/>
        </w:numPr>
        <w:rPr>
          <w:szCs w:val="24"/>
        </w:rPr>
      </w:pPr>
      <w:r w:rsidRPr="00BD3DDF">
        <w:rPr>
          <w:szCs w:val="24"/>
        </w:rPr>
        <w:t xml:space="preserve">prebrali </w:t>
      </w:r>
      <w:r w:rsidR="00873BE2" w:rsidRPr="00BD3DDF">
        <w:rPr>
          <w:szCs w:val="24"/>
        </w:rPr>
        <w:t>vsak</w:t>
      </w:r>
      <w:r w:rsidRPr="00BD3DDF">
        <w:rPr>
          <w:szCs w:val="24"/>
        </w:rPr>
        <w:t>o</w:t>
      </w:r>
      <w:r w:rsidR="00873BE2" w:rsidRPr="00BD3DDF">
        <w:rPr>
          <w:szCs w:val="24"/>
        </w:rPr>
        <w:t xml:space="preserve"> sod</w:t>
      </w:r>
      <w:r w:rsidR="00B250E5" w:rsidRPr="00BD3DDF">
        <w:rPr>
          <w:szCs w:val="24"/>
        </w:rPr>
        <w:t>no odločbo</w:t>
      </w:r>
      <w:r w:rsidR="00873BE2" w:rsidRPr="00BD3DDF">
        <w:rPr>
          <w:szCs w:val="24"/>
        </w:rPr>
        <w:t xml:space="preserve"> in</w:t>
      </w:r>
      <w:r w:rsidR="00B972E7" w:rsidRPr="00BD3DDF">
        <w:rPr>
          <w:szCs w:val="24"/>
        </w:rPr>
        <w:t xml:space="preserve"> iz nje</w:t>
      </w:r>
      <w:r w:rsidRPr="00BD3DDF">
        <w:rPr>
          <w:szCs w:val="24"/>
        </w:rPr>
        <w:t xml:space="preserve"> izluščili ključne informacije.</w:t>
      </w:r>
    </w:p>
    <w:p w:rsidR="0046231B" w:rsidRPr="00BD3DDF" w:rsidRDefault="00FE57B2" w:rsidP="00FE57B2">
      <w:pPr>
        <w:rPr>
          <w:szCs w:val="24"/>
        </w:rPr>
      </w:pPr>
      <w:r w:rsidRPr="00BD3DDF">
        <w:rPr>
          <w:szCs w:val="24"/>
        </w:rPr>
        <w:t>Z</w:t>
      </w:r>
      <w:r w:rsidR="0046231B" w:rsidRPr="00BD3DDF">
        <w:rPr>
          <w:szCs w:val="24"/>
        </w:rPr>
        <w:t>birka sodnih odločb</w:t>
      </w:r>
      <w:r w:rsidR="00B250E5" w:rsidRPr="00BD3DDF">
        <w:rPr>
          <w:szCs w:val="24"/>
        </w:rPr>
        <w:t xml:space="preserve"> – </w:t>
      </w:r>
      <w:r w:rsidR="0046231B" w:rsidRPr="00BD3DDF">
        <w:rPr>
          <w:szCs w:val="24"/>
        </w:rPr>
        <w:t>ne glede na to, kako popolna in temeljita je</w:t>
      </w:r>
      <w:r w:rsidR="00B250E5" w:rsidRPr="00BD3DDF">
        <w:rPr>
          <w:szCs w:val="24"/>
        </w:rPr>
        <w:t xml:space="preserve"> – </w:t>
      </w:r>
      <w:r w:rsidR="0046231B" w:rsidRPr="00BD3DDF">
        <w:rPr>
          <w:szCs w:val="24"/>
        </w:rPr>
        <w:t>ne</w:t>
      </w:r>
      <w:r w:rsidR="00B250E5" w:rsidRPr="00BD3DDF">
        <w:rPr>
          <w:szCs w:val="24"/>
        </w:rPr>
        <w:t xml:space="preserve"> </w:t>
      </w:r>
      <w:r w:rsidR="0046231B" w:rsidRPr="00BD3DDF">
        <w:rPr>
          <w:szCs w:val="24"/>
        </w:rPr>
        <w:t xml:space="preserve">odraža celotnega obsega sporov v zvezi </w:t>
      </w:r>
      <w:r w:rsidR="00B250E5" w:rsidRPr="00BD3DDF">
        <w:rPr>
          <w:szCs w:val="24"/>
        </w:rPr>
        <w:t>uveljavljanjem pravic intelektualne lastnine</w:t>
      </w:r>
      <w:r w:rsidR="0046231B" w:rsidRPr="00BD3DDF">
        <w:rPr>
          <w:szCs w:val="24"/>
        </w:rPr>
        <w:t xml:space="preserve">. To pa zato, ker ni na voljo informacij o tem, v kolikšnem obsegu se </w:t>
      </w:r>
      <w:r w:rsidR="00B250E5" w:rsidRPr="00BD3DDF">
        <w:rPr>
          <w:szCs w:val="24"/>
        </w:rPr>
        <w:t xml:space="preserve">takšni </w:t>
      </w:r>
      <w:r w:rsidR="0046231B" w:rsidRPr="00BD3DDF">
        <w:rPr>
          <w:szCs w:val="24"/>
        </w:rPr>
        <w:t xml:space="preserve">rešujejo </w:t>
      </w:r>
      <w:r w:rsidR="00B250E5" w:rsidRPr="00BD3DDF">
        <w:rPr>
          <w:szCs w:val="24"/>
        </w:rPr>
        <w:t>izvensodno</w:t>
      </w:r>
      <w:r w:rsidR="0046231B" w:rsidRPr="00BD3DDF">
        <w:rPr>
          <w:szCs w:val="24"/>
        </w:rPr>
        <w:t>.</w:t>
      </w:r>
      <w:r w:rsidR="00B250E5" w:rsidRPr="00BD3DDF">
        <w:rPr>
          <w:szCs w:val="24"/>
        </w:rPr>
        <w:t xml:space="preserve"> Ker je število sporov na tem področju relativno majhno, lahko predvidevamo, da je obseg </w:t>
      </w:r>
      <w:r w:rsidR="00B972E7" w:rsidRPr="00BD3DDF">
        <w:rPr>
          <w:szCs w:val="24"/>
        </w:rPr>
        <w:t>izvensodnega</w:t>
      </w:r>
      <w:r w:rsidR="00B250E5" w:rsidRPr="00BD3DDF">
        <w:rPr>
          <w:szCs w:val="24"/>
        </w:rPr>
        <w:t xml:space="preserve"> reševanja teh sporov večji.</w:t>
      </w:r>
    </w:p>
    <w:p w:rsidR="00FE57B2" w:rsidRPr="00BD3DDF" w:rsidRDefault="001C49D9" w:rsidP="00FE57B2">
      <w:pPr>
        <w:rPr>
          <w:szCs w:val="24"/>
        </w:rPr>
      </w:pPr>
      <w:r w:rsidRPr="00BD3DDF">
        <w:rPr>
          <w:szCs w:val="24"/>
        </w:rPr>
        <w:t>Nabor ključnih odločitev</w:t>
      </w:r>
      <w:r w:rsidR="00FE57B2" w:rsidRPr="00BD3DDF">
        <w:rPr>
          <w:szCs w:val="24"/>
        </w:rPr>
        <w:t xml:space="preserve"> sva razdelili na </w:t>
      </w:r>
      <w:r w:rsidR="00E07A9F" w:rsidRPr="00BD3DDF">
        <w:rPr>
          <w:szCs w:val="24"/>
        </w:rPr>
        <w:t xml:space="preserve">dve </w:t>
      </w:r>
      <w:r w:rsidR="00FE57B2" w:rsidRPr="00BD3DDF">
        <w:rPr>
          <w:szCs w:val="24"/>
        </w:rPr>
        <w:t>področj</w:t>
      </w:r>
      <w:r w:rsidR="00E07A9F" w:rsidRPr="00BD3DDF">
        <w:rPr>
          <w:szCs w:val="24"/>
        </w:rPr>
        <w:t>i</w:t>
      </w:r>
      <w:r w:rsidR="00FE57B2" w:rsidRPr="00BD3DDF">
        <w:rPr>
          <w:szCs w:val="24"/>
        </w:rPr>
        <w:t>:</w:t>
      </w:r>
    </w:p>
    <w:p w:rsidR="00FE57B2" w:rsidRPr="00BD3DDF" w:rsidRDefault="00FE57B2" w:rsidP="00FE57B2">
      <w:pPr>
        <w:pStyle w:val="Odstavekseznama"/>
        <w:numPr>
          <w:ilvl w:val="0"/>
          <w:numId w:val="14"/>
        </w:numPr>
        <w:rPr>
          <w:szCs w:val="24"/>
        </w:rPr>
      </w:pPr>
      <w:r w:rsidRPr="00BD3DDF">
        <w:rPr>
          <w:b/>
          <w:bCs/>
          <w:szCs w:val="24"/>
        </w:rPr>
        <w:lastRenderedPageBreak/>
        <w:t>industrijska lastnina</w:t>
      </w:r>
      <w:r w:rsidRPr="00BD3DDF">
        <w:rPr>
          <w:szCs w:val="24"/>
        </w:rPr>
        <w:t xml:space="preserve"> – v tem razdelku sva preučili odločbe s področja patentov, znamk</w:t>
      </w:r>
      <w:r w:rsidR="001C49D9" w:rsidRPr="00BD3DDF">
        <w:rPr>
          <w:szCs w:val="24"/>
        </w:rPr>
        <w:t>,</w:t>
      </w:r>
      <w:r w:rsidRPr="00BD3DDF">
        <w:rPr>
          <w:szCs w:val="24"/>
        </w:rPr>
        <w:t xml:space="preserve"> </w:t>
      </w:r>
      <w:r w:rsidR="00A9431F" w:rsidRPr="00BD3DDF">
        <w:rPr>
          <w:szCs w:val="24"/>
        </w:rPr>
        <w:t>firme</w:t>
      </w:r>
      <w:r w:rsidRPr="00BD3DDF">
        <w:rPr>
          <w:szCs w:val="24"/>
        </w:rPr>
        <w:t xml:space="preserve"> </w:t>
      </w:r>
      <w:r w:rsidR="001C49D9" w:rsidRPr="00BD3DDF">
        <w:rPr>
          <w:szCs w:val="24"/>
        </w:rPr>
        <w:t xml:space="preserve">in </w:t>
      </w:r>
      <w:r w:rsidRPr="00BD3DDF">
        <w:rPr>
          <w:szCs w:val="24"/>
        </w:rPr>
        <w:t>varstva poslovnih skrivnost</w:t>
      </w:r>
      <w:r w:rsidR="001C49D9" w:rsidRPr="00BD3DDF">
        <w:rPr>
          <w:szCs w:val="24"/>
        </w:rPr>
        <w:t>i. V preučevanem obdobju ni bilo odločb s področja modelov</w:t>
      </w:r>
      <w:r w:rsidRPr="00BD3DDF">
        <w:rPr>
          <w:szCs w:val="24"/>
        </w:rPr>
        <w:t xml:space="preserve">; </w:t>
      </w:r>
      <w:r w:rsidR="00E07A9F" w:rsidRPr="00BD3DDF">
        <w:rPr>
          <w:szCs w:val="24"/>
        </w:rPr>
        <w:t>in</w:t>
      </w:r>
    </w:p>
    <w:p w:rsidR="00050FD3" w:rsidRPr="00BD3DDF" w:rsidRDefault="00FE57B2" w:rsidP="00E07A9F">
      <w:pPr>
        <w:pStyle w:val="Odstavekseznama"/>
        <w:numPr>
          <w:ilvl w:val="0"/>
          <w:numId w:val="14"/>
        </w:numPr>
        <w:rPr>
          <w:szCs w:val="24"/>
        </w:rPr>
      </w:pPr>
      <w:r w:rsidRPr="00BD3DDF">
        <w:rPr>
          <w:b/>
          <w:bCs/>
          <w:szCs w:val="24"/>
        </w:rPr>
        <w:t>avtorska in sorodne pravice</w:t>
      </w:r>
      <w:r w:rsidRPr="00BD3DDF">
        <w:rPr>
          <w:szCs w:val="24"/>
        </w:rPr>
        <w:t xml:space="preserve"> – v tem razdelku sva pregledali odločbe s področja individualnega in kolektivnega uveljavljanja avtorske in sorodnih pravic</w:t>
      </w:r>
      <w:r w:rsidR="00E07A9F" w:rsidRPr="00BD3DDF">
        <w:rPr>
          <w:szCs w:val="24"/>
        </w:rPr>
        <w:t>.</w:t>
      </w:r>
    </w:p>
    <w:p w:rsidR="0046231B" w:rsidRPr="00BD3DDF" w:rsidRDefault="0046231B" w:rsidP="00E90D04">
      <w:pPr>
        <w:rPr>
          <w:szCs w:val="24"/>
        </w:rPr>
      </w:pPr>
      <w:r w:rsidRPr="00BD3DDF">
        <w:rPr>
          <w:szCs w:val="24"/>
        </w:rPr>
        <w:t>Narava vsake empirične študije je, da so v procesu zbiranja podatkov prisotne omejitve.</w:t>
      </w:r>
      <w:r w:rsidR="0017791B" w:rsidRPr="00BD3DDF">
        <w:rPr>
          <w:szCs w:val="24"/>
        </w:rPr>
        <w:t xml:space="preserve"> Prvi izziv je struktura sodb</w:t>
      </w:r>
      <w:r w:rsidR="00A9431F" w:rsidRPr="00BD3DDF">
        <w:rPr>
          <w:szCs w:val="24"/>
        </w:rPr>
        <w:t xml:space="preserve"> </w:t>
      </w:r>
      <w:r w:rsidR="0088149C" w:rsidRPr="00BD3DDF">
        <w:rPr>
          <w:szCs w:val="24"/>
        </w:rPr>
        <w:t>višjih</w:t>
      </w:r>
      <w:r w:rsidR="00A9431F" w:rsidRPr="00BD3DDF">
        <w:rPr>
          <w:szCs w:val="24"/>
        </w:rPr>
        <w:t xml:space="preserve"> sodišč</w:t>
      </w:r>
      <w:r w:rsidR="0017791B" w:rsidRPr="00BD3DDF">
        <w:rPr>
          <w:szCs w:val="24"/>
        </w:rPr>
        <w:t>, ki so včasih težko razumljive, če jih ne bereš hkrati s prvostopenjsko sodbo.</w:t>
      </w:r>
      <w:r w:rsidR="00281313" w:rsidRPr="00BD3DDF">
        <w:rPr>
          <w:szCs w:val="24"/>
        </w:rPr>
        <w:t xml:space="preserve"> Sodbe prvostopenjskih sodišč pa v Sloveniji niso javno dostopne, tako kot niso dostopne na Češkem, v Grčiji, in v Avstriji, delno pa niso dostopne v Nemčiji, Španiji, Franciji in Madžarski.</w:t>
      </w:r>
      <w:r w:rsidR="00281313" w:rsidRPr="00BD3DDF">
        <w:rPr>
          <w:rStyle w:val="Sprotnaopomba-sklic"/>
          <w:szCs w:val="24"/>
        </w:rPr>
        <w:footnoteReference w:id="4"/>
      </w:r>
      <w:r w:rsidR="00281313" w:rsidRPr="00BD3DDF">
        <w:rPr>
          <w:szCs w:val="24"/>
        </w:rPr>
        <w:t xml:space="preserve"> </w:t>
      </w:r>
    </w:p>
    <w:p w:rsidR="00450F3B" w:rsidRPr="00BD3DDF" w:rsidRDefault="00450F3B" w:rsidP="00E90D04">
      <w:pPr>
        <w:rPr>
          <w:szCs w:val="24"/>
        </w:rPr>
      </w:pPr>
    </w:p>
    <w:p w:rsidR="005A7152" w:rsidRPr="00BD3DDF" w:rsidRDefault="005A7152">
      <w:pPr>
        <w:rPr>
          <w:caps/>
          <w:spacing w:val="15"/>
          <w:sz w:val="22"/>
          <w:szCs w:val="22"/>
        </w:rPr>
      </w:pPr>
      <w:bookmarkStart w:id="15" w:name="_Toc169764591"/>
      <w:r w:rsidRPr="00BD3DDF">
        <w:br w:type="page"/>
      </w:r>
    </w:p>
    <w:p w:rsidR="00BA0678" w:rsidRPr="00BD3DDF" w:rsidRDefault="009803A0" w:rsidP="003D47D4">
      <w:pPr>
        <w:pStyle w:val="Naslov2"/>
      </w:pPr>
      <w:bookmarkStart w:id="16" w:name="_Toc227678351"/>
      <w:r w:rsidRPr="00BD3DDF">
        <w:lastRenderedPageBreak/>
        <w:t>Število pregledanih in izbranih odločitev</w:t>
      </w:r>
      <w:bookmarkEnd w:id="15"/>
      <w:bookmarkEnd w:id="16"/>
    </w:p>
    <w:p w:rsidR="00011872" w:rsidRPr="00BD3DDF" w:rsidRDefault="00E90D04" w:rsidP="00B8762C">
      <w:pPr>
        <w:pStyle w:val="body"/>
        <w:spacing w:before="240"/>
        <w:rPr>
          <w:rFonts w:asciiTheme="minorHAnsi" w:hAnsiTheme="minorHAnsi"/>
        </w:rPr>
      </w:pPr>
      <w:r w:rsidRPr="00BD3DDF">
        <w:rPr>
          <w:rFonts w:asciiTheme="minorHAnsi" w:hAnsiTheme="minorHAnsi"/>
        </w:rPr>
        <w:t>V letu 202</w:t>
      </w:r>
      <w:r w:rsidR="00E07A9F" w:rsidRPr="00BD3DDF">
        <w:rPr>
          <w:rFonts w:asciiTheme="minorHAnsi" w:hAnsiTheme="minorHAnsi"/>
        </w:rPr>
        <w:t>5</w:t>
      </w:r>
      <w:r w:rsidRPr="00BD3DDF">
        <w:rPr>
          <w:rFonts w:asciiTheme="minorHAnsi" w:hAnsiTheme="minorHAnsi"/>
        </w:rPr>
        <w:t xml:space="preserve"> </w:t>
      </w:r>
      <w:r w:rsidR="00AD10C7" w:rsidRPr="00BD3DDF">
        <w:rPr>
          <w:rFonts w:asciiTheme="minorHAnsi" w:hAnsiTheme="minorHAnsi"/>
        </w:rPr>
        <w:t>je</w:t>
      </w:r>
      <w:r w:rsidRPr="00BD3DDF">
        <w:rPr>
          <w:rFonts w:asciiTheme="minorHAnsi" w:hAnsiTheme="minorHAnsi"/>
        </w:rPr>
        <w:t xml:space="preserve"> </w:t>
      </w:r>
      <w:r w:rsidR="00581E7A" w:rsidRPr="00BD3DDF">
        <w:rPr>
          <w:rFonts w:asciiTheme="minorHAnsi" w:hAnsiTheme="minorHAnsi"/>
        </w:rPr>
        <w:t xml:space="preserve">bil </w:t>
      </w:r>
      <w:proofErr w:type="spellStart"/>
      <w:r w:rsidRPr="00BD3DDF">
        <w:rPr>
          <w:rFonts w:asciiTheme="minorHAnsi" w:hAnsiTheme="minorHAnsi"/>
        </w:rPr>
        <w:t>pripad</w:t>
      </w:r>
      <w:proofErr w:type="spellEnd"/>
      <w:r w:rsidRPr="00BD3DDF">
        <w:rPr>
          <w:rFonts w:asciiTheme="minorHAnsi" w:hAnsiTheme="minorHAnsi"/>
        </w:rPr>
        <w:t xml:space="preserve"> zadev v zvezi z uveljavljanjem pravic intelektualne lastnine pred slovenskimi sodišči </w:t>
      </w:r>
      <w:r w:rsidR="00E07A9F" w:rsidRPr="00BD3DDF">
        <w:rPr>
          <w:rFonts w:asciiTheme="minorHAnsi" w:hAnsiTheme="minorHAnsi"/>
        </w:rPr>
        <w:t>približno enak kot v prejšnjih letih</w:t>
      </w:r>
      <w:r w:rsidRPr="00BD3DDF">
        <w:rPr>
          <w:rFonts w:asciiTheme="minorHAnsi" w:hAnsiTheme="minorHAnsi"/>
        </w:rPr>
        <w:t xml:space="preserve">. Na gospodarskem oddelku </w:t>
      </w:r>
      <w:r w:rsidR="00A9431F" w:rsidRPr="00BD3DDF">
        <w:rPr>
          <w:rFonts w:asciiTheme="minorHAnsi" w:hAnsiTheme="minorHAnsi"/>
        </w:rPr>
        <w:t>VSL</w:t>
      </w:r>
      <w:r w:rsidR="0096780F" w:rsidRPr="00BD3DDF">
        <w:rPr>
          <w:rFonts w:asciiTheme="minorHAnsi" w:hAnsiTheme="minorHAnsi"/>
        </w:rPr>
        <w:t xml:space="preserve"> </w:t>
      </w:r>
      <w:r w:rsidRPr="00BD3DDF">
        <w:rPr>
          <w:rFonts w:asciiTheme="minorHAnsi" w:hAnsiTheme="minorHAnsi"/>
        </w:rPr>
        <w:t xml:space="preserve">je bilo </w:t>
      </w:r>
      <w:r w:rsidR="00E07A9F" w:rsidRPr="00BD3DDF">
        <w:rPr>
          <w:rFonts w:asciiTheme="minorHAnsi" w:hAnsiTheme="minorHAnsi"/>
        </w:rPr>
        <w:t>zabeleženih 42 zadev</w:t>
      </w:r>
      <w:r w:rsidR="0088149C" w:rsidRPr="00BD3DDF">
        <w:rPr>
          <w:rFonts w:asciiTheme="minorHAnsi" w:hAnsiTheme="minorHAnsi"/>
        </w:rPr>
        <w:t>.</w:t>
      </w:r>
    </w:p>
    <w:p w:rsidR="00E90D04" w:rsidRPr="00BD3DDF" w:rsidRDefault="00E90D04" w:rsidP="00E90D04">
      <w:pPr>
        <w:pStyle w:val="Standard"/>
        <w:spacing w:line="360" w:lineRule="auto"/>
        <w:jc w:val="both"/>
        <w:rPr>
          <w:rFonts w:asciiTheme="minorHAnsi" w:eastAsia="Times New Roman" w:hAnsiTheme="minorHAnsi" w:cs="Times New Roman"/>
          <w:i/>
          <w:sz w:val="20"/>
          <w:szCs w:val="20"/>
          <w:lang w:eastAsia="de-DE"/>
        </w:rPr>
      </w:pPr>
      <w:r w:rsidRPr="00BD3DDF">
        <w:rPr>
          <w:rFonts w:asciiTheme="minorHAnsi" w:eastAsia="Times New Roman" w:hAnsiTheme="minorHAnsi" w:cs="Times New Roman"/>
          <w:i/>
          <w:sz w:val="20"/>
          <w:szCs w:val="20"/>
          <w:lang w:eastAsia="de-DE"/>
        </w:rPr>
        <w:t>Tabela 1: Število rešenih spisov na gospodarskem oddelku VSL v obdobju od 2016 do 202</w:t>
      </w:r>
      <w:r w:rsidR="00E925EF">
        <w:rPr>
          <w:rFonts w:asciiTheme="minorHAnsi" w:eastAsia="Times New Roman" w:hAnsiTheme="minorHAnsi" w:cs="Times New Roman"/>
          <w:i/>
          <w:sz w:val="20"/>
          <w:szCs w:val="20"/>
          <w:lang w:eastAsia="de-DE"/>
        </w:rPr>
        <w:t>5</w:t>
      </w:r>
      <w:r w:rsidRPr="00BD3DDF">
        <w:rPr>
          <w:rFonts w:asciiTheme="minorHAnsi" w:eastAsia="Times New Roman" w:hAnsiTheme="minorHAnsi" w:cs="Times New Roman"/>
          <w:i/>
          <w:sz w:val="20"/>
          <w:szCs w:val="20"/>
          <w:lang w:eastAsia="de-DE"/>
        </w:rPr>
        <w:t xml:space="preserve"> na področju uveljavljanja pravic intelektualne lastnine</w:t>
      </w:r>
    </w:p>
    <w:tbl>
      <w:tblPr>
        <w:tblW w:w="9782" w:type="dxa"/>
        <w:tblInd w:w="-10" w:type="dxa"/>
        <w:tblLook w:val="04A0" w:firstRow="1" w:lastRow="0" w:firstColumn="1" w:lastColumn="0" w:noHBand="0" w:noVBand="1"/>
      </w:tblPr>
      <w:tblGrid>
        <w:gridCol w:w="1454"/>
        <w:gridCol w:w="880"/>
        <w:gridCol w:w="879"/>
        <w:gridCol w:w="877"/>
        <w:gridCol w:w="779"/>
        <w:gridCol w:w="790"/>
        <w:gridCol w:w="844"/>
        <w:gridCol w:w="779"/>
        <w:gridCol w:w="798"/>
        <w:gridCol w:w="851"/>
        <w:gridCol w:w="851"/>
      </w:tblGrid>
      <w:tr w:rsidR="00E07A9F" w:rsidRPr="00BD3DDF" w:rsidTr="007E47B1">
        <w:trPr>
          <w:trHeight w:val="337"/>
        </w:trPr>
        <w:tc>
          <w:tcPr>
            <w:tcW w:w="1454" w:type="dxa"/>
            <w:tcBorders>
              <w:top w:val="single" w:sz="8" w:space="0" w:color="84E290"/>
              <w:left w:val="single" w:sz="8" w:space="0" w:color="84E290"/>
              <w:bottom w:val="single" w:sz="12" w:space="0" w:color="47D459"/>
              <w:right w:val="single" w:sz="8" w:space="0" w:color="84E290"/>
            </w:tcBorders>
            <w:shd w:val="clear" w:color="000000" w:fill="FFC000"/>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 </w:t>
            </w:r>
          </w:p>
        </w:tc>
        <w:tc>
          <w:tcPr>
            <w:tcW w:w="880"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2016</w:t>
            </w:r>
          </w:p>
        </w:tc>
        <w:tc>
          <w:tcPr>
            <w:tcW w:w="879"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2017</w:t>
            </w:r>
          </w:p>
        </w:tc>
        <w:tc>
          <w:tcPr>
            <w:tcW w:w="877"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2018</w:t>
            </w:r>
          </w:p>
        </w:tc>
        <w:tc>
          <w:tcPr>
            <w:tcW w:w="779"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2019</w:t>
            </w:r>
          </w:p>
        </w:tc>
        <w:tc>
          <w:tcPr>
            <w:tcW w:w="790"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2020</w:t>
            </w:r>
          </w:p>
        </w:tc>
        <w:tc>
          <w:tcPr>
            <w:tcW w:w="844"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2021</w:t>
            </w:r>
          </w:p>
        </w:tc>
        <w:tc>
          <w:tcPr>
            <w:tcW w:w="779"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2022</w:t>
            </w:r>
          </w:p>
        </w:tc>
        <w:tc>
          <w:tcPr>
            <w:tcW w:w="798"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2023</w:t>
            </w:r>
          </w:p>
        </w:tc>
        <w:tc>
          <w:tcPr>
            <w:tcW w:w="851" w:type="dxa"/>
            <w:tcBorders>
              <w:top w:val="single" w:sz="8" w:space="0" w:color="84E290"/>
              <w:left w:val="nil"/>
              <w:bottom w:val="single" w:sz="12" w:space="0" w:color="47D459"/>
              <w:right w:val="single" w:sz="8" w:space="0" w:color="84E290"/>
            </w:tcBorders>
            <w:shd w:val="clear" w:color="000000" w:fill="B3E5A1"/>
            <w:vAlign w:val="center"/>
            <w:hideMark/>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2024</w:t>
            </w:r>
          </w:p>
        </w:tc>
        <w:tc>
          <w:tcPr>
            <w:tcW w:w="851" w:type="dxa"/>
            <w:tcBorders>
              <w:top w:val="single" w:sz="8" w:space="0" w:color="84E290"/>
              <w:left w:val="nil"/>
              <w:bottom w:val="single" w:sz="12" w:space="0" w:color="47D459"/>
              <w:right w:val="single" w:sz="8" w:space="0" w:color="84E290"/>
            </w:tcBorders>
            <w:shd w:val="clear" w:color="000000" w:fill="B3E5A1"/>
            <w:vAlign w:val="center"/>
          </w:tcPr>
          <w:p w:rsidR="00E07A9F" w:rsidRPr="00BD3DDF" w:rsidRDefault="00E07A9F" w:rsidP="00E07A9F">
            <w:pPr>
              <w:spacing w:before="0" w:after="0" w:line="240" w:lineRule="auto"/>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2025</w:t>
            </w:r>
          </w:p>
        </w:tc>
      </w:tr>
      <w:tr w:rsidR="00E07A9F" w:rsidRPr="00BD3DDF" w:rsidTr="007E47B1">
        <w:trPr>
          <w:trHeight w:val="1911"/>
        </w:trPr>
        <w:tc>
          <w:tcPr>
            <w:tcW w:w="1454" w:type="dxa"/>
            <w:tcBorders>
              <w:top w:val="nil"/>
              <w:left w:val="single" w:sz="8" w:space="0" w:color="84E290"/>
              <w:bottom w:val="single" w:sz="8" w:space="0" w:color="84E290"/>
              <w:right w:val="single" w:sz="8" w:space="0" w:color="84E290"/>
            </w:tcBorders>
            <w:shd w:val="clear" w:color="000000" w:fill="FFC000"/>
            <w:vAlign w:val="center"/>
            <w:hideMark/>
          </w:tcPr>
          <w:p w:rsidR="00E07A9F" w:rsidRPr="00BD3DDF" w:rsidRDefault="00E07A9F" w:rsidP="00E07A9F">
            <w:pPr>
              <w:spacing w:before="0" w:after="0" w:line="240" w:lineRule="auto"/>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Kolektivno upravljanje avtorske in sorodnih pravic</w:t>
            </w:r>
          </w:p>
        </w:tc>
        <w:tc>
          <w:tcPr>
            <w:tcW w:w="880"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243</w:t>
            </w:r>
          </w:p>
        </w:tc>
        <w:tc>
          <w:tcPr>
            <w:tcW w:w="879"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54</w:t>
            </w:r>
          </w:p>
        </w:tc>
        <w:tc>
          <w:tcPr>
            <w:tcW w:w="877"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50</w:t>
            </w:r>
          </w:p>
        </w:tc>
        <w:tc>
          <w:tcPr>
            <w:tcW w:w="779"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11</w:t>
            </w:r>
          </w:p>
        </w:tc>
        <w:tc>
          <w:tcPr>
            <w:tcW w:w="790"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6</w:t>
            </w:r>
          </w:p>
        </w:tc>
        <w:tc>
          <w:tcPr>
            <w:tcW w:w="844"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21</w:t>
            </w:r>
          </w:p>
        </w:tc>
        <w:tc>
          <w:tcPr>
            <w:tcW w:w="779"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17</w:t>
            </w:r>
          </w:p>
        </w:tc>
        <w:tc>
          <w:tcPr>
            <w:tcW w:w="798"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8</w:t>
            </w:r>
          </w:p>
        </w:tc>
        <w:tc>
          <w:tcPr>
            <w:tcW w:w="851"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31</w:t>
            </w:r>
          </w:p>
        </w:tc>
        <w:tc>
          <w:tcPr>
            <w:tcW w:w="851" w:type="dxa"/>
            <w:tcBorders>
              <w:top w:val="nil"/>
              <w:left w:val="nil"/>
              <w:bottom w:val="single" w:sz="8" w:space="0" w:color="84E290"/>
              <w:right w:val="single" w:sz="8" w:space="0" w:color="84E290"/>
            </w:tcBorders>
            <w:vAlign w:val="center"/>
          </w:tcPr>
          <w:p w:rsidR="00E07A9F" w:rsidRPr="00BD3DDF" w:rsidRDefault="00BD668A"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25</w:t>
            </w:r>
          </w:p>
        </w:tc>
      </w:tr>
      <w:tr w:rsidR="00E07A9F" w:rsidRPr="00BD3DDF" w:rsidTr="007E47B1">
        <w:trPr>
          <w:trHeight w:val="695"/>
        </w:trPr>
        <w:tc>
          <w:tcPr>
            <w:tcW w:w="1454" w:type="dxa"/>
            <w:tcBorders>
              <w:top w:val="nil"/>
              <w:left w:val="single" w:sz="8" w:space="0" w:color="84E290"/>
              <w:bottom w:val="single" w:sz="8" w:space="0" w:color="84E290"/>
              <w:right w:val="single" w:sz="8" w:space="0" w:color="84E290"/>
            </w:tcBorders>
            <w:shd w:val="clear" w:color="000000" w:fill="FFC000"/>
            <w:vAlign w:val="center"/>
            <w:hideMark/>
          </w:tcPr>
          <w:p w:rsidR="00E07A9F" w:rsidRPr="00BD3DDF" w:rsidRDefault="00E07A9F" w:rsidP="00E07A9F">
            <w:pPr>
              <w:spacing w:before="0" w:after="0" w:line="240" w:lineRule="auto"/>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Ostali spori</w:t>
            </w:r>
          </w:p>
        </w:tc>
        <w:tc>
          <w:tcPr>
            <w:tcW w:w="880"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65</w:t>
            </w:r>
          </w:p>
        </w:tc>
        <w:tc>
          <w:tcPr>
            <w:tcW w:w="879"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74</w:t>
            </w:r>
          </w:p>
        </w:tc>
        <w:tc>
          <w:tcPr>
            <w:tcW w:w="877"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47</w:t>
            </w:r>
          </w:p>
        </w:tc>
        <w:tc>
          <w:tcPr>
            <w:tcW w:w="779"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21</w:t>
            </w:r>
          </w:p>
        </w:tc>
        <w:tc>
          <w:tcPr>
            <w:tcW w:w="790"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32</w:t>
            </w:r>
          </w:p>
        </w:tc>
        <w:tc>
          <w:tcPr>
            <w:tcW w:w="844"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18</w:t>
            </w:r>
          </w:p>
        </w:tc>
        <w:tc>
          <w:tcPr>
            <w:tcW w:w="779"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12</w:t>
            </w:r>
          </w:p>
        </w:tc>
        <w:tc>
          <w:tcPr>
            <w:tcW w:w="798"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10</w:t>
            </w:r>
          </w:p>
        </w:tc>
        <w:tc>
          <w:tcPr>
            <w:tcW w:w="851" w:type="dxa"/>
            <w:tcBorders>
              <w:top w:val="nil"/>
              <w:left w:val="nil"/>
              <w:bottom w:val="single" w:sz="8" w:space="0" w:color="84E290"/>
              <w:right w:val="single" w:sz="8" w:space="0" w:color="84E290"/>
            </w:tcBorders>
            <w:vAlign w:val="center"/>
            <w:hideMark/>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16</w:t>
            </w:r>
          </w:p>
        </w:tc>
        <w:tc>
          <w:tcPr>
            <w:tcW w:w="851" w:type="dxa"/>
            <w:tcBorders>
              <w:top w:val="nil"/>
              <w:left w:val="nil"/>
              <w:bottom w:val="single" w:sz="8" w:space="0" w:color="84E290"/>
              <w:right w:val="single" w:sz="8" w:space="0" w:color="84E290"/>
            </w:tcBorders>
            <w:vAlign w:val="center"/>
          </w:tcPr>
          <w:p w:rsidR="00E07A9F" w:rsidRPr="00BD3DDF" w:rsidRDefault="00E07A9F" w:rsidP="00E07A9F">
            <w:pPr>
              <w:spacing w:before="0" w:after="0" w:line="240" w:lineRule="auto"/>
              <w:ind w:firstLineChars="100" w:firstLine="240"/>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1</w:t>
            </w:r>
            <w:r w:rsidR="00BD668A" w:rsidRPr="00BD3DDF">
              <w:rPr>
                <w:rFonts w:ascii="Trebuchet MS" w:eastAsia="Times New Roman" w:hAnsi="Trebuchet MS" w:cs="Times New Roman"/>
                <w:color w:val="000000"/>
                <w:szCs w:val="24"/>
                <w:lang w:eastAsia="en-GB"/>
              </w:rPr>
              <w:t>7</w:t>
            </w:r>
          </w:p>
        </w:tc>
      </w:tr>
      <w:tr w:rsidR="00E07A9F" w:rsidRPr="00BD3DDF" w:rsidTr="007E47B1">
        <w:trPr>
          <w:trHeight w:val="655"/>
        </w:trPr>
        <w:tc>
          <w:tcPr>
            <w:tcW w:w="1454" w:type="dxa"/>
            <w:tcBorders>
              <w:top w:val="nil"/>
              <w:left w:val="single" w:sz="8" w:space="0" w:color="84E290"/>
              <w:bottom w:val="single" w:sz="8" w:space="0" w:color="84E290"/>
              <w:right w:val="single" w:sz="8" w:space="0" w:color="84E290"/>
            </w:tcBorders>
            <w:shd w:val="clear" w:color="000000" w:fill="FFC000"/>
            <w:vAlign w:val="center"/>
            <w:hideMark/>
          </w:tcPr>
          <w:p w:rsidR="00E07A9F" w:rsidRPr="00BD3DDF" w:rsidRDefault="00E07A9F" w:rsidP="00E07A9F">
            <w:pPr>
              <w:spacing w:before="0" w:after="0" w:line="240" w:lineRule="auto"/>
              <w:rPr>
                <w:rFonts w:ascii="Trebuchet MS" w:eastAsia="Times New Roman" w:hAnsi="Trebuchet MS" w:cs="Times New Roman"/>
                <w:color w:val="000000"/>
                <w:szCs w:val="24"/>
                <w:lang w:eastAsia="en-GB"/>
              </w:rPr>
            </w:pPr>
            <w:r w:rsidRPr="00BD3DDF">
              <w:rPr>
                <w:rFonts w:ascii="Trebuchet MS" w:eastAsia="Times New Roman" w:hAnsi="Trebuchet MS" w:cs="Times New Roman"/>
                <w:color w:val="000000"/>
                <w:szCs w:val="24"/>
                <w:lang w:eastAsia="en-GB"/>
              </w:rPr>
              <w:t>Skupaj</w:t>
            </w:r>
          </w:p>
        </w:tc>
        <w:tc>
          <w:tcPr>
            <w:tcW w:w="880"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308</w:t>
            </w:r>
          </w:p>
        </w:tc>
        <w:tc>
          <w:tcPr>
            <w:tcW w:w="879"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101</w:t>
            </w:r>
          </w:p>
        </w:tc>
        <w:tc>
          <w:tcPr>
            <w:tcW w:w="877"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97</w:t>
            </w:r>
          </w:p>
        </w:tc>
        <w:tc>
          <w:tcPr>
            <w:tcW w:w="779"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32</w:t>
            </w:r>
          </w:p>
        </w:tc>
        <w:tc>
          <w:tcPr>
            <w:tcW w:w="790"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38</w:t>
            </w:r>
          </w:p>
        </w:tc>
        <w:tc>
          <w:tcPr>
            <w:tcW w:w="844"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39</w:t>
            </w:r>
          </w:p>
        </w:tc>
        <w:tc>
          <w:tcPr>
            <w:tcW w:w="779"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29</w:t>
            </w:r>
          </w:p>
        </w:tc>
        <w:tc>
          <w:tcPr>
            <w:tcW w:w="798"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18</w:t>
            </w:r>
          </w:p>
        </w:tc>
        <w:tc>
          <w:tcPr>
            <w:tcW w:w="851" w:type="dxa"/>
            <w:tcBorders>
              <w:top w:val="nil"/>
              <w:left w:val="nil"/>
              <w:bottom w:val="single" w:sz="8" w:space="0" w:color="84E290"/>
              <w:right w:val="single" w:sz="8" w:space="0" w:color="84E290"/>
            </w:tcBorders>
            <w:shd w:val="clear" w:color="000000" w:fill="60CAF3"/>
            <w:vAlign w:val="center"/>
            <w:hideMark/>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47</w:t>
            </w:r>
          </w:p>
        </w:tc>
        <w:tc>
          <w:tcPr>
            <w:tcW w:w="851" w:type="dxa"/>
            <w:tcBorders>
              <w:top w:val="nil"/>
              <w:left w:val="nil"/>
              <w:bottom w:val="single" w:sz="8" w:space="0" w:color="84E290"/>
              <w:right w:val="single" w:sz="8" w:space="0" w:color="84E290"/>
            </w:tcBorders>
            <w:shd w:val="clear" w:color="000000" w:fill="60CAF3"/>
            <w:vAlign w:val="center"/>
          </w:tcPr>
          <w:p w:rsidR="00E07A9F" w:rsidRPr="00BD3DDF" w:rsidRDefault="00E07A9F" w:rsidP="00E07A9F">
            <w:pPr>
              <w:spacing w:before="0" w:after="0" w:line="240" w:lineRule="auto"/>
              <w:ind w:firstLineChars="100" w:firstLine="241"/>
              <w:rPr>
                <w:rFonts w:ascii="Trebuchet MS" w:eastAsia="Times New Roman" w:hAnsi="Trebuchet MS" w:cs="Times New Roman"/>
                <w:b/>
                <w:bCs/>
                <w:color w:val="000000"/>
                <w:szCs w:val="24"/>
                <w:lang w:eastAsia="en-GB"/>
              </w:rPr>
            </w:pPr>
            <w:r w:rsidRPr="00BD3DDF">
              <w:rPr>
                <w:rFonts w:ascii="Trebuchet MS" w:eastAsia="Times New Roman" w:hAnsi="Trebuchet MS" w:cs="Times New Roman"/>
                <w:b/>
                <w:bCs/>
                <w:color w:val="000000"/>
                <w:szCs w:val="24"/>
                <w:lang w:eastAsia="en-GB"/>
              </w:rPr>
              <w:t>4</w:t>
            </w:r>
            <w:r w:rsidR="00BD668A" w:rsidRPr="00BD3DDF">
              <w:rPr>
                <w:rFonts w:ascii="Trebuchet MS" w:eastAsia="Times New Roman" w:hAnsi="Trebuchet MS" w:cs="Times New Roman"/>
                <w:b/>
                <w:bCs/>
                <w:color w:val="000000"/>
                <w:szCs w:val="24"/>
                <w:lang w:eastAsia="en-GB"/>
              </w:rPr>
              <w:t>2</w:t>
            </w:r>
          </w:p>
        </w:tc>
      </w:tr>
    </w:tbl>
    <w:p w:rsidR="00011872" w:rsidRPr="00BD3DDF" w:rsidRDefault="00011872" w:rsidP="00E90D04">
      <w:pPr>
        <w:pStyle w:val="Standard"/>
        <w:spacing w:line="360" w:lineRule="auto"/>
        <w:jc w:val="both"/>
        <w:rPr>
          <w:rFonts w:asciiTheme="minorHAnsi" w:eastAsia="Times New Roman" w:hAnsiTheme="minorHAnsi" w:cs="Times New Roman"/>
          <w:sz w:val="20"/>
          <w:szCs w:val="20"/>
          <w:lang w:eastAsia="de-DE"/>
        </w:rPr>
      </w:pPr>
    </w:p>
    <w:p w:rsidR="00E90D04" w:rsidRPr="00BD3DDF" w:rsidRDefault="00E90D04" w:rsidP="00E90D04">
      <w:pPr>
        <w:pStyle w:val="Standard"/>
        <w:spacing w:line="360" w:lineRule="auto"/>
        <w:jc w:val="both"/>
        <w:rPr>
          <w:rFonts w:asciiTheme="minorHAnsi" w:eastAsia="Times New Roman" w:hAnsiTheme="minorHAnsi" w:cs="Times New Roman"/>
          <w:sz w:val="20"/>
          <w:szCs w:val="20"/>
          <w:lang w:eastAsia="de-DE"/>
        </w:rPr>
      </w:pPr>
      <w:r w:rsidRPr="00BD3DDF">
        <w:rPr>
          <w:rFonts w:asciiTheme="minorHAnsi" w:eastAsia="Times New Roman" w:hAnsiTheme="minorHAnsi" w:cs="Times New Roman"/>
          <w:sz w:val="20"/>
          <w:szCs w:val="20"/>
          <w:lang w:eastAsia="de-DE"/>
        </w:rPr>
        <w:t xml:space="preserve">Vir: VSL, vpisnik V </w:t>
      </w:r>
      <w:proofErr w:type="spellStart"/>
      <w:r w:rsidRPr="00BD3DDF">
        <w:rPr>
          <w:rFonts w:asciiTheme="minorHAnsi" w:eastAsia="Times New Roman" w:hAnsiTheme="minorHAnsi" w:cs="Times New Roman"/>
          <w:sz w:val="20"/>
          <w:szCs w:val="20"/>
          <w:lang w:eastAsia="de-DE"/>
        </w:rPr>
        <w:t>Cpg</w:t>
      </w:r>
      <w:proofErr w:type="spellEnd"/>
      <w:r w:rsidRPr="00BD3DDF">
        <w:rPr>
          <w:rFonts w:asciiTheme="minorHAnsi" w:eastAsia="Times New Roman" w:hAnsiTheme="minorHAnsi" w:cs="Times New Roman"/>
          <w:sz w:val="20"/>
          <w:szCs w:val="20"/>
          <w:lang w:eastAsia="de-DE"/>
        </w:rPr>
        <w:t>.</w:t>
      </w:r>
    </w:p>
    <w:p w:rsidR="00581E7A" w:rsidRPr="00BD3DDF" w:rsidRDefault="00581E7A" w:rsidP="00E90D04">
      <w:pPr>
        <w:pStyle w:val="Standard"/>
        <w:spacing w:line="360" w:lineRule="auto"/>
        <w:jc w:val="both"/>
        <w:rPr>
          <w:rFonts w:asciiTheme="minorHAnsi" w:eastAsia="Times New Roman" w:hAnsiTheme="minorHAnsi" w:cs="Times New Roman"/>
          <w:sz w:val="20"/>
          <w:szCs w:val="20"/>
          <w:lang w:eastAsia="de-DE"/>
        </w:rPr>
      </w:pPr>
    </w:p>
    <w:p w:rsidR="0096780F" w:rsidRPr="00BD3DDF" w:rsidRDefault="0096780F" w:rsidP="00224F38">
      <w:pPr>
        <w:rPr>
          <w:szCs w:val="24"/>
        </w:rPr>
      </w:pPr>
      <w:r w:rsidRPr="00BD3DDF">
        <w:rPr>
          <w:szCs w:val="24"/>
        </w:rPr>
        <w:t xml:space="preserve">Poleg zadev iz vpisnika V </w:t>
      </w:r>
      <w:proofErr w:type="spellStart"/>
      <w:r w:rsidRPr="00BD3DDF">
        <w:rPr>
          <w:szCs w:val="24"/>
        </w:rPr>
        <w:t>Cpg</w:t>
      </w:r>
      <w:proofErr w:type="spellEnd"/>
      <w:r w:rsidRPr="00BD3DDF">
        <w:rPr>
          <w:szCs w:val="24"/>
        </w:rPr>
        <w:t xml:space="preserve"> sva avtorici analize pregledali:</w:t>
      </w:r>
    </w:p>
    <w:p w:rsidR="0096780F" w:rsidRPr="00BD3DDF" w:rsidRDefault="00FF17C9" w:rsidP="00224F38">
      <w:pPr>
        <w:pStyle w:val="Odstavekseznama"/>
        <w:numPr>
          <w:ilvl w:val="0"/>
          <w:numId w:val="37"/>
        </w:numPr>
        <w:rPr>
          <w:szCs w:val="24"/>
        </w:rPr>
      </w:pPr>
      <w:r w:rsidRPr="00BD3DDF">
        <w:rPr>
          <w:szCs w:val="24"/>
        </w:rPr>
        <w:t>6</w:t>
      </w:r>
      <w:r w:rsidR="00540669" w:rsidRPr="00BD3DDF">
        <w:rPr>
          <w:szCs w:val="24"/>
        </w:rPr>
        <w:t xml:space="preserve"> </w:t>
      </w:r>
      <w:r w:rsidR="0096780F" w:rsidRPr="00BD3DDF">
        <w:rPr>
          <w:szCs w:val="24"/>
        </w:rPr>
        <w:t>odločit</w:t>
      </w:r>
      <w:r w:rsidR="00540669" w:rsidRPr="00BD3DDF">
        <w:rPr>
          <w:szCs w:val="24"/>
        </w:rPr>
        <w:t>ev</w:t>
      </w:r>
      <w:r w:rsidR="00F66B11" w:rsidRPr="00BD3DDF">
        <w:rPr>
          <w:szCs w:val="24"/>
        </w:rPr>
        <w:t xml:space="preserve"> </w:t>
      </w:r>
      <w:r w:rsidR="0096780F" w:rsidRPr="00BD3DDF">
        <w:rPr>
          <w:szCs w:val="24"/>
        </w:rPr>
        <w:t>Vrhovnega sodišča (VSRS),</w:t>
      </w:r>
      <w:r w:rsidR="00540669" w:rsidRPr="00BD3DDF">
        <w:rPr>
          <w:szCs w:val="24"/>
        </w:rPr>
        <w:t xml:space="preserve"> </w:t>
      </w:r>
      <w:r w:rsidR="0088149C" w:rsidRPr="00BD3DDF">
        <w:rPr>
          <w:szCs w:val="24"/>
        </w:rPr>
        <w:t xml:space="preserve">pri čemer so se </w:t>
      </w:r>
      <w:r w:rsidR="00540669" w:rsidRPr="00BD3DDF">
        <w:rPr>
          <w:szCs w:val="24"/>
        </w:rPr>
        <w:t>štiri nanašale samo na vprašanje, ali naj se revizija dopusti</w:t>
      </w:r>
      <w:r w:rsidRPr="00BD3DDF">
        <w:rPr>
          <w:szCs w:val="24"/>
        </w:rPr>
        <w:t>,</w:t>
      </w:r>
    </w:p>
    <w:p w:rsidR="00CE6662" w:rsidRPr="00BD3DDF" w:rsidRDefault="00FF17C9" w:rsidP="00224F38">
      <w:pPr>
        <w:pStyle w:val="Odstavekseznama"/>
        <w:numPr>
          <w:ilvl w:val="0"/>
          <w:numId w:val="36"/>
        </w:numPr>
        <w:rPr>
          <w:szCs w:val="24"/>
        </w:rPr>
      </w:pPr>
      <w:r w:rsidRPr="00BD3DDF">
        <w:rPr>
          <w:szCs w:val="24"/>
        </w:rPr>
        <w:t>6</w:t>
      </w:r>
      <w:r w:rsidR="00CE6662" w:rsidRPr="00BD3DDF">
        <w:rPr>
          <w:szCs w:val="24"/>
        </w:rPr>
        <w:t xml:space="preserve"> odločitev civilnega oddelka VSL</w:t>
      </w:r>
      <w:r w:rsidRPr="00BD3DDF">
        <w:rPr>
          <w:szCs w:val="24"/>
        </w:rPr>
        <w:t>, ter</w:t>
      </w:r>
    </w:p>
    <w:p w:rsidR="009803A0" w:rsidRPr="00BD3DDF" w:rsidRDefault="00FF17C9" w:rsidP="00224F38">
      <w:pPr>
        <w:pStyle w:val="Odstavekseznama"/>
        <w:numPr>
          <w:ilvl w:val="0"/>
          <w:numId w:val="36"/>
        </w:numPr>
        <w:rPr>
          <w:szCs w:val="24"/>
        </w:rPr>
      </w:pPr>
      <w:r w:rsidRPr="00BD3DDF">
        <w:rPr>
          <w:szCs w:val="24"/>
        </w:rPr>
        <w:t>dve</w:t>
      </w:r>
      <w:r w:rsidR="00E777B4" w:rsidRPr="00BD3DDF">
        <w:rPr>
          <w:szCs w:val="24"/>
        </w:rPr>
        <w:t xml:space="preserve"> </w:t>
      </w:r>
      <w:r w:rsidR="0096780F" w:rsidRPr="00BD3DDF">
        <w:rPr>
          <w:szCs w:val="24"/>
        </w:rPr>
        <w:t>sodb</w:t>
      </w:r>
      <w:r w:rsidRPr="00BD3DDF">
        <w:rPr>
          <w:szCs w:val="24"/>
        </w:rPr>
        <w:t>i</w:t>
      </w:r>
      <w:r w:rsidR="0096780F" w:rsidRPr="00BD3DDF">
        <w:rPr>
          <w:szCs w:val="24"/>
        </w:rPr>
        <w:t xml:space="preserve"> Upravnega sodišča RS (UPRS)</w:t>
      </w:r>
      <w:r w:rsidRPr="00BD3DDF">
        <w:rPr>
          <w:szCs w:val="24"/>
        </w:rPr>
        <w:t>.</w:t>
      </w:r>
    </w:p>
    <w:p w:rsidR="00BD2C62" w:rsidRPr="00BD3DDF" w:rsidRDefault="00C0760D" w:rsidP="00BD2C62">
      <w:pPr>
        <w:rPr>
          <w:szCs w:val="24"/>
        </w:rPr>
      </w:pPr>
      <w:r w:rsidRPr="00BD3DDF">
        <w:rPr>
          <w:szCs w:val="24"/>
        </w:rPr>
        <w:t>Drugih odločitev avtorici analize nisva našli</w:t>
      </w:r>
      <w:r w:rsidR="00A71C86" w:rsidRPr="00BD3DDF">
        <w:rPr>
          <w:szCs w:val="24"/>
        </w:rPr>
        <w:t>.</w:t>
      </w:r>
      <w:r w:rsidR="00BD2C62" w:rsidRPr="00BD3DDF">
        <w:rPr>
          <w:szCs w:val="24"/>
        </w:rPr>
        <w:t xml:space="preserve"> Izmed najdenih sva izbrali </w:t>
      </w:r>
      <w:r w:rsidR="00FF17C9" w:rsidRPr="00BD3DDF">
        <w:rPr>
          <w:szCs w:val="24"/>
        </w:rPr>
        <w:t>17</w:t>
      </w:r>
      <w:r w:rsidR="005265A3" w:rsidRPr="00BD3DDF">
        <w:rPr>
          <w:szCs w:val="24"/>
        </w:rPr>
        <w:t xml:space="preserve"> </w:t>
      </w:r>
      <w:r w:rsidR="00BD2C62" w:rsidRPr="00BD3DDF">
        <w:rPr>
          <w:szCs w:val="24"/>
        </w:rPr>
        <w:t>odločitev sodišč, ki sva jih ocenili kot ključne.</w:t>
      </w:r>
    </w:p>
    <w:p w:rsidR="009803A0" w:rsidRPr="00BD3DDF" w:rsidRDefault="009803A0" w:rsidP="005B60DD"/>
    <w:p w:rsidR="005B60DD" w:rsidRPr="00BD3DDF" w:rsidRDefault="005B60DD">
      <w:pPr>
        <w:rPr>
          <w:b/>
          <w:bCs/>
          <w:caps/>
          <w:color w:val="FFFFFF" w:themeColor="background1"/>
          <w:spacing w:val="15"/>
          <w:sz w:val="22"/>
          <w:szCs w:val="22"/>
        </w:rPr>
      </w:pPr>
      <w:r w:rsidRPr="00BD3DDF">
        <w:br w:type="page"/>
      </w:r>
    </w:p>
    <w:p w:rsidR="00BA0678" w:rsidRPr="00BD3DDF" w:rsidRDefault="000E2C8A" w:rsidP="003D47D4">
      <w:pPr>
        <w:pStyle w:val="Naslov1"/>
      </w:pPr>
      <w:bookmarkStart w:id="17" w:name="_Toc169764592"/>
      <w:bookmarkStart w:id="18" w:name="_Toc227678352"/>
      <w:r w:rsidRPr="00BD3DDF">
        <w:lastRenderedPageBreak/>
        <w:t>Analiza k</w:t>
      </w:r>
      <w:r w:rsidR="006B216F" w:rsidRPr="00BD3DDF">
        <w:t>ljučnih sodnih odločb</w:t>
      </w:r>
      <w:bookmarkEnd w:id="17"/>
      <w:bookmarkEnd w:id="18"/>
    </w:p>
    <w:p w:rsidR="006B216F" w:rsidRPr="00BD3DDF" w:rsidRDefault="000E2C8A" w:rsidP="003D47D4">
      <w:pPr>
        <w:pStyle w:val="Naslov2"/>
      </w:pPr>
      <w:bookmarkStart w:id="19" w:name="_Toc169764593"/>
      <w:bookmarkStart w:id="20" w:name="_Toc227678353"/>
      <w:r w:rsidRPr="00BD3DDF">
        <w:t>I</w:t>
      </w:r>
      <w:r w:rsidR="006B216F" w:rsidRPr="00BD3DDF">
        <w:t>ndustrijska lastnina</w:t>
      </w:r>
      <w:bookmarkEnd w:id="19"/>
      <w:bookmarkEnd w:id="20"/>
    </w:p>
    <w:p w:rsidR="00C25B86" w:rsidRPr="00BD3DDF" w:rsidRDefault="000E2C8A" w:rsidP="00664AE2">
      <w:pPr>
        <w:pStyle w:val="Naslov3"/>
      </w:pPr>
      <w:bookmarkStart w:id="21" w:name="_Toc169764594"/>
      <w:bookmarkStart w:id="22" w:name="_Toc227678354"/>
      <w:r w:rsidRPr="00BD3DDF">
        <w:t>Znamka</w:t>
      </w:r>
      <w:bookmarkEnd w:id="21"/>
      <w:bookmarkEnd w:id="22"/>
    </w:p>
    <w:p w:rsidR="00835099" w:rsidRPr="00BD3DDF" w:rsidRDefault="00391E75" w:rsidP="00835099">
      <w:pPr>
        <w:pStyle w:val="Naslov4"/>
      </w:pPr>
      <w:bookmarkStart w:id="23" w:name="_Toc227678355"/>
      <w:bookmarkStart w:id="24" w:name="_Hlk227549137"/>
      <w:r w:rsidRPr="00BD3DDF">
        <w:t>VSL Sklep V Cpg 304/2024 z dne 1. aprila 202</w:t>
      </w:r>
      <w:r w:rsidR="00835099" w:rsidRPr="00BD3DDF">
        <w:t>5</w:t>
      </w:r>
      <w:bookmarkEnd w:id="23"/>
    </w:p>
    <w:bookmarkEnd w:id="24"/>
    <w:p w:rsidR="007E47B1" w:rsidRPr="00BD3DDF" w:rsidRDefault="00391E75" w:rsidP="005B215F">
      <w:pPr>
        <w:rPr>
          <w:b/>
          <w:bCs/>
        </w:rPr>
      </w:pPr>
      <w:r w:rsidRPr="00BD3DDF">
        <w:rPr>
          <w:b/>
          <w:bCs/>
        </w:rPr>
        <w:t>Nacionalno pravo:</w:t>
      </w:r>
    </w:p>
    <w:p w:rsidR="00391E75" w:rsidRPr="00BD3DDF" w:rsidRDefault="007E47B1" w:rsidP="007E47B1">
      <w:pPr>
        <w:ind w:left="720"/>
      </w:pPr>
      <w:bookmarkStart w:id="25" w:name="_Hlk227530988"/>
      <w:r w:rsidRPr="00BD3DDF">
        <w:t>Zakon o industrijski lastnini (</w:t>
      </w:r>
      <w:r w:rsidR="00391E75" w:rsidRPr="00BD3DDF">
        <w:t>ZIL-1</w:t>
      </w:r>
      <w:r w:rsidRPr="00BD3DDF">
        <w:t>)</w:t>
      </w:r>
      <w:r w:rsidRPr="00BD3DDF">
        <w:rPr>
          <w:rStyle w:val="Sprotnaopomba-sklic"/>
        </w:rPr>
        <w:footnoteReference w:id="5"/>
      </w:r>
      <w:r w:rsidR="00391E75" w:rsidRPr="00BD3DDF">
        <w:t xml:space="preserve"> </w:t>
      </w:r>
      <w:bookmarkEnd w:id="25"/>
      <w:r w:rsidR="00391E75" w:rsidRPr="00BD3DDF">
        <w:t>v točki j</w:t>
      </w:r>
      <w:r w:rsidR="0008146C" w:rsidRPr="00BD3DDF">
        <w:t>)</w:t>
      </w:r>
      <w:r w:rsidR="00391E75" w:rsidRPr="00BD3DDF">
        <w:t xml:space="preserve"> 43. člena kot absolutni razlog za zavrnitev registracije znamke določa, da se</w:t>
      </w:r>
      <w:r w:rsidR="007452A6" w:rsidRPr="00BD3DDF">
        <w:t xml:space="preserve"> </w:t>
      </w:r>
      <w:r w:rsidR="00391E75" w:rsidRPr="00BD3DDF">
        <w:t>kot znamka ne sme registrirati znak, ki je izključen iz registracije v skladu s predpisi Republike Slovenije ali Evropske unije ali mednarodnimi pogodbami, katerih pogodbenica je Republika Slovenija ali Evropska unija, ki zagotavljajo varstvo označb porekla in geografskih označb. Med relativnim razlogi za zavrnitev znamke ZIL-1 v točki f) 44. člena določa, da se kot znamka ne registrira znak, če se lahko njegova uporaba prepove na podlagi registrirane označbe porekla ali geografske označbe, za katero je bila prijava vložena v skladu s predpisi Republike Slovenije ali Evropske unije, ki urejajo varstvo označb porekla ali geografskih označb, pred datumom vložitve prijave znamke ali datumom prednostne pravice, če je ta zahtevana.</w:t>
      </w:r>
    </w:p>
    <w:p w:rsidR="005B215F" w:rsidRPr="005E6D51" w:rsidRDefault="00391E75" w:rsidP="005E6D51">
      <w:pPr>
        <w:ind w:left="720"/>
      </w:pPr>
      <w:r w:rsidRPr="00BD3DDF">
        <w:t>Sodišče je v sporu odločalo na podlagi določil</w:t>
      </w:r>
      <w:r w:rsidR="00E4333C" w:rsidRPr="00BD3DDF">
        <w:t xml:space="preserve"> Zakona</w:t>
      </w:r>
      <w:r w:rsidRPr="00BD3DDF">
        <w:t xml:space="preserve"> </w:t>
      </w:r>
      <w:r w:rsidR="00E4333C" w:rsidRPr="00BD3DDF">
        <w:t>o spremembah in dopolnitvah Zakona o industrijski lastnini (ZIL-1E),</w:t>
      </w:r>
      <w:r w:rsidR="00E4333C" w:rsidRPr="00BD3DDF">
        <w:rPr>
          <w:rStyle w:val="Sprotnaopomba-sklic"/>
        </w:rPr>
        <w:footnoteReference w:id="6"/>
      </w:r>
      <w:r w:rsidR="00E4333C" w:rsidRPr="00BD3DDF">
        <w:t xml:space="preserve"> </w:t>
      </w:r>
      <w:r w:rsidRPr="00BD3DDF">
        <w:t>ki je absolutne in relativne razloge za zavrnitev znamke določal kot ničnostne razloge, ki se uveljavljajo s tožbo pred sodiščem</w:t>
      </w:r>
      <w:r w:rsidR="007452A6" w:rsidRPr="00BD3DDF">
        <w:t xml:space="preserve"> </w:t>
      </w:r>
      <w:r w:rsidRPr="00BD3DDF">
        <w:t>po 114. členu ZIL-1 v zvezi s 43. oziroma 44. členom ZIL-1.</w:t>
      </w:r>
    </w:p>
    <w:p w:rsidR="00391E75" w:rsidRPr="00BD3DDF" w:rsidRDefault="00391E75" w:rsidP="00391E75">
      <w:pPr>
        <w:rPr>
          <w:b/>
          <w:bCs/>
        </w:rPr>
      </w:pPr>
      <w:r w:rsidRPr="00BD3DDF">
        <w:rPr>
          <w:b/>
          <w:bCs/>
        </w:rPr>
        <w:t>Pravo EU:</w:t>
      </w:r>
    </w:p>
    <w:p w:rsidR="008D3FDF" w:rsidRPr="005E6D51" w:rsidRDefault="00391E75" w:rsidP="005E6D51">
      <w:pPr>
        <w:ind w:left="720"/>
      </w:pPr>
      <w:bookmarkStart w:id="26" w:name="_Hlk227551069"/>
      <w:r w:rsidRPr="00BD3DDF">
        <w:t>Uredba (EU) št. 1308/2013 z dne 17. decembra 2013 o vzpostavitvi skupne ureditve trgov kmetijskih proizvodov</w:t>
      </w:r>
      <w:r w:rsidR="004D3375" w:rsidRPr="00BD3DDF">
        <w:rPr>
          <w:rStyle w:val="Sprotnaopomba-sklic"/>
        </w:rPr>
        <w:footnoteReference w:id="7"/>
      </w:r>
      <w:r w:rsidRPr="00BD3DDF">
        <w:t xml:space="preserve"> </w:t>
      </w:r>
      <w:bookmarkEnd w:id="26"/>
      <w:r w:rsidRPr="00BD3DDF">
        <w:t xml:space="preserve">v točki b) prvega odstavka členu 102. določa, da se razveljavi registracija blagovne znamke, ki vsebuje ali jo sestavlja zaščitena </w:t>
      </w:r>
      <w:r w:rsidRPr="00BD3DDF">
        <w:lastRenderedPageBreak/>
        <w:t>označba porekla ali geografska označba, ki ni v skladu z zadevno specifikacijo proizvoda, ali katere uporaba je zajeta v členu 103(2) in ki se nanaša na proizvod, ki spada v eno od kategorij s seznama v delu II Priloge VII.</w:t>
      </w:r>
      <w:r w:rsidR="007452A6" w:rsidRPr="00BD3DDF">
        <w:t xml:space="preserve"> </w:t>
      </w:r>
      <w:r w:rsidRPr="00BD3DDF">
        <w:t>Uredba 1308/2013 v 103. členu določa obseg zaščite zaščitene označbe porekla in zaščitene geografske označbe, ki jo lahko uporablja vsak izvajalec, ki trži vino, ki je bilo pridelano v skladu z ustrezno specifikacijo proizvoda. V drugem odstavku navedenega člena je določeno, da so zaščitena označba porekla in zaščitena geografska označba ter vino, za katero se uporablja navedeno zaščiteno ime v skladu s specifikacijo proizvoda, zaščiteni pred: (a) vsako neposredno ali posredno komercialno rabo navedenega zaščitenega imena: (i) za primerljive proizvode, ki niso v skladu s specifikacijo proizvoda za zaščiteno ime, ali (ii) kolikor bi takšna raba izkoriščala sloves označbe porekla ali geografske označbe; (b) vsako zlorabo, posnemanjem ali prikazovanjem, tudi če je resnično poreklo proizvoda ali storitve navedeno ali če je zaščiteno ime prevedeno, drugače zapisano ali prečrkovano ali če mu je dodan izraz, kot so "stil", "tip", "metoda", "kot se proizvaja v", "imitacija", "okus", "kot" ali podobno; c) vsako drugo napačno ali zavajajočo navedbo izvora, porekla, vrste ali bistvenih lastnosti proizvoda na notranji ali zunanji embalaži, v reklamnem gradivu ali dokumentih, ki se nanašajo na zadevni vinski proizvod, in pred uporabo embalaže, ki lahko ustvari napačen vtis o poreklu proizvoda; (d) vsemi drugimi praksami, ki lahko potrošnika zavajajo glede resničnega porekla proizvoda.</w:t>
      </w:r>
    </w:p>
    <w:p w:rsidR="006D33AA" w:rsidRPr="00BD3DDF" w:rsidRDefault="006D33AA" w:rsidP="006D33AA">
      <w:pPr>
        <w:rPr>
          <w:b/>
          <w:bCs/>
        </w:rPr>
      </w:pPr>
      <w:r w:rsidRPr="00BD3DDF">
        <w:rPr>
          <w:b/>
          <w:bCs/>
        </w:rPr>
        <w:t>Dejansko stanje:</w:t>
      </w:r>
    </w:p>
    <w:p w:rsidR="00391E75" w:rsidRPr="00BD3DDF" w:rsidRDefault="006D33AA" w:rsidP="006D33AA">
      <w:pPr>
        <w:ind w:left="720"/>
      </w:pPr>
      <w:r w:rsidRPr="00BD3DDF">
        <w:t>Tožnica je imetnica zaščitene geografske označbe (ZGO) na ravni EU z imenom Μα</w:t>
      </w:r>
      <w:proofErr w:type="spellStart"/>
      <w:r w:rsidRPr="00BD3DDF">
        <w:t>κεδονί</w:t>
      </w:r>
      <w:proofErr w:type="spellEnd"/>
      <w:r w:rsidRPr="00BD3DDF">
        <w:t>α,</w:t>
      </w:r>
      <w:r w:rsidR="007452A6" w:rsidRPr="00BD3DDF">
        <w:t xml:space="preserve"> </w:t>
      </w:r>
      <w:r w:rsidRPr="00BD3DDF">
        <w:t>za vrsto proizvodov vino in grozdje. ZGO se nanaša na vina, proizvedena v vinogradih z območij zahodne, centralne in vzhodne Makedonije in Trakije, v Grčiji. Toženka je imetnica dveh figurativnih nacionalnih znamk, katerih ničnost je tožnica uveljavljala v tem sporu.</w:t>
      </w:r>
    </w:p>
    <w:p w:rsidR="00EC5796" w:rsidRPr="00BD3DDF" w:rsidRDefault="009575E2" w:rsidP="009575E2">
      <w:pPr>
        <w:rPr>
          <w:noProof/>
        </w:rPr>
      </w:pPr>
      <w:r w:rsidRPr="00BD3DDF">
        <w:rPr>
          <w:noProof/>
          <w:lang w:eastAsia="sl-SI"/>
        </w:rPr>
        <w:drawing>
          <wp:inline distT="0" distB="0" distL="0" distR="0" wp14:anchorId="7341C38B" wp14:editId="4CE0D73E">
            <wp:extent cx="2266545" cy="505460"/>
            <wp:effectExtent l="0" t="0" r="0" b="2540"/>
            <wp:docPr id="4" name="grafika2">
              <a:extLst xmlns:a="http://schemas.openxmlformats.org/drawingml/2006/main">
                <a:ext uri="{FF2B5EF4-FFF2-40B4-BE49-F238E27FC236}">
                  <a16:creationId xmlns:a16="http://schemas.microsoft.com/office/drawing/2014/main" id="{51921D5E-BA90-C052-31D2-F3F349D3EC0D}"/>
                </a:ext>
              </a:extLst>
            </wp:docPr>
            <wp:cNvGraphicFramePr/>
            <a:graphic xmlns:a="http://schemas.openxmlformats.org/drawingml/2006/main">
              <a:graphicData uri="http://schemas.openxmlformats.org/drawingml/2006/picture">
                <pic:pic xmlns:pic="http://schemas.openxmlformats.org/drawingml/2006/picture">
                  <pic:nvPicPr>
                    <pic:cNvPr id="4" name="grafika2">
                      <a:extLst>
                        <a:ext uri="{FF2B5EF4-FFF2-40B4-BE49-F238E27FC236}">
                          <a16:creationId xmlns:a16="http://schemas.microsoft.com/office/drawing/2014/main" id="{51921D5E-BA90-C052-31D2-F3F349D3EC0D}"/>
                        </a:ext>
                      </a:extLst>
                    </pic:cNvPr>
                    <pic:cNvPicPr/>
                  </pic:nvPicPr>
                  <pic:blipFill>
                    <a:blip r:embed="rId18"/>
                    <a:stretch>
                      <a:fillRect/>
                    </a:stretch>
                  </pic:blipFill>
                  <pic:spPr>
                    <a:xfrm>
                      <a:off x="0" y="0"/>
                      <a:ext cx="2300581" cy="513050"/>
                    </a:xfrm>
                    <a:prstGeom prst="rect">
                      <a:avLst/>
                    </a:prstGeom>
                  </pic:spPr>
                </pic:pic>
              </a:graphicData>
            </a:graphic>
          </wp:inline>
        </w:drawing>
      </w:r>
      <w:r w:rsidR="007452A6" w:rsidRPr="00BD3DDF">
        <w:rPr>
          <w:noProof/>
        </w:rPr>
        <w:t xml:space="preserve">  </w:t>
      </w:r>
    </w:p>
    <w:p w:rsidR="00EC5796" w:rsidRPr="00BD3DDF" w:rsidRDefault="00EC5796" w:rsidP="009575E2">
      <w:pPr>
        <w:rPr>
          <w:noProof/>
          <w:sz w:val="20"/>
        </w:rPr>
      </w:pPr>
      <w:r w:rsidRPr="00BD3DDF">
        <w:rPr>
          <w:noProof/>
          <w:sz w:val="20"/>
        </w:rPr>
        <w:t>Slika 1: toženkina znamka</w:t>
      </w:r>
      <w:r w:rsidR="009575E2" w:rsidRPr="00BD3DDF">
        <w:rPr>
          <w:noProof/>
          <w:sz w:val="20"/>
        </w:rPr>
        <w:t xml:space="preserve"> </w:t>
      </w:r>
      <w:r w:rsidRPr="00BD3DDF">
        <w:rPr>
          <w:noProof/>
          <w:sz w:val="20"/>
        </w:rPr>
        <w:t>št. 1.</w:t>
      </w:r>
    </w:p>
    <w:p w:rsidR="00EC5796" w:rsidRPr="00BD3DDF" w:rsidRDefault="00EC5796" w:rsidP="009575E2">
      <w:pPr>
        <w:rPr>
          <w:noProof/>
        </w:rPr>
      </w:pPr>
    </w:p>
    <w:p w:rsidR="006D33AA" w:rsidRPr="00BD3DDF" w:rsidRDefault="009575E2" w:rsidP="009575E2">
      <w:pPr>
        <w:rPr>
          <w:noProof/>
        </w:rPr>
      </w:pPr>
      <w:r w:rsidRPr="00BD3DDF">
        <w:rPr>
          <w:noProof/>
        </w:rPr>
        <w:t xml:space="preserve"> </w:t>
      </w:r>
      <w:r w:rsidRPr="00BD3DDF">
        <w:rPr>
          <w:noProof/>
          <w:lang w:eastAsia="sl-SI"/>
        </w:rPr>
        <w:drawing>
          <wp:inline distT="0" distB="0" distL="0" distR="0" wp14:anchorId="00FD99E3" wp14:editId="74D907F7">
            <wp:extent cx="2130357" cy="514964"/>
            <wp:effectExtent l="0" t="0" r="3810" b="6350"/>
            <wp:docPr id="5" name="grafika1">
              <a:extLst xmlns:a="http://schemas.openxmlformats.org/drawingml/2006/main">
                <a:ext uri="{FF2B5EF4-FFF2-40B4-BE49-F238E27FC236}">
                  <a16:creationId xmlns:a16="http://schemas.microsoft.com/office/drawing/2014/main" id="{823DBC53-4444-FF8B-5FC6-9BA57CA98AE2}"/>
                </a:ext>
              </a:extLst>
            </wp:docPr>
            <wp:cNvGraphicFramePr/>
            <a:graphic xmlns:a="http://schemas.openxmlformats.org/drawingml/2006/main">
              <a:graphicData uri="http://schemas.openxmlformats.org/drawingml/2006/picture">
                <pic:pic xmlns:pic="http://schemas.openxmlformats.org/drawingml/2006/picture">
                  <pic:nvPicPr>
                    <pic:cNvPr id="5" name="grafika1">
                      <a:extLst>
                        <a:ext uri="{FF2B5EF4-FFF2-40B4-BE49-F238E27FC236}">
                          <a16:creationId xmlns:a16="http://schemas.microsoft.com/office/drawing/2014/main" id="{823DBC53-4444-FF8B-5FC6-9BA57CA98AE2}"/>
                        </a:ext>
                      </a:extLst>
                    </pic:cNvPr>
                    <pic:cNvPicPr/>
                  </pic:nvPicPr>
                  <pic:blipFill>
                    <a:blip r:embed="rId19"/>
                    <a:stretch>
                      <a:fillRect/>
                    </a:stretch>
                  </pic:blipFill>
                  <pic:spPr>
                    <a:xfrm>
                      <a:off x="0" y="0"/>
                      <a:ext cx="2183600" cy="527834"/>
                    </a:xfrm>
                    <a:prstGeom prst="rect">
                      <a:avLst/>
                    </a:prstGeom>
                  </pic:spPr>
                </pic:pic>
              </a:graphicData>
            </a:graphic>
          </wp:inline>
        </w:drawing>
      </w:r>
    </w:p>
    <w:p w:rsidR="00EC5796" w:rsidRPr="00BD3DDF" w:rsidRDefault="00EC5796" w:rsidP="009575E2">
      <w:pPr>
        <w:rPr>
          <w:noProof/>
          <w:sz w:val="20"/>
        </w:rPr>
      </w:pPr>
      <w:r w:rsidRPr="00BD3DDF">
        <w:rPr>
          <w:noProof/>
          <w:sz w:val="20"/>
        </w:rPr>
        <w:t>Slika 2: toženkina znamka št. 2.</w:t>
      </w:r>
    </w:p>
    <w:p w:rsidR="00EC5796" w:rsidRPr="00BD3DDF" w:rsidRDefault="00EC5796" w:rsidP="009575E2">
      <w:pPr>
        <w:rPr>
          <w:noProof/>
          <w:sz w:val="20"/>
        </w:rPr>
      </w:pPr>
    </w:p>
    <w:p w:rsidR="00CF2266" w:rsidRPr="00BD3DDF" w:rsidRDefault="00CF2266" w:rsidP="009575E2">
      <w:pPr>
        <w:rPr>
          <w:b/>
          <w:bCs/>
        </w:rPr>
      </w:pPr>
      <w:r w:rsidRPr="00BD3DDF">
        <w:rPr>
          <w:b/>
          <w:bCs/>
        </w:rPr>
        <w:t>Odločitev sodišč:</w:t>
      </w:r>
    </w:p>
    <w:p w:rsidR="00CF2266" w:rsidRPr="00BD3DDF" w:rsidRDefault="00CF2266" w:rsidP="00CF2266">
      <w:pPr>
        <w:ind w:left="720"/>
      </w:pPr>
      <w:r w:rsidRPr="00BD3DDF">
        <w:t xml:space="preserve">Sodišče prve stopnje je zavrnilo tožbeni zahtevek za ugotovitev ničnosti znamk. Zaključilo je, da tožnica ni dokazala, da znamki na trgu Republike Slovenije ustvarjata zmedo in zavajanje. </w:t>
      </w:r>
    </w:p>
    <w:p w:rsidR="009575E2" w:rsidRPr="00BD3DDF" w:rsidRDefault="00CF2266" w:rsidP="00CF2266">
      <w:pPr>
        <w:ind w:left="720"/>
      </w:pPr>
      <w:r w:rsidRPr="00BD3DDF">
        <w:t xml:space="preserve">Pritožbeno sodišče pa je izpodbijano sodbo razveljavilo ter vrnilo sodišču prve stopnje v novo sojenje. Pojasnilo je, da dejstva, ki se nanašajo na neobstoj zmede in zavajanja javnosti, ne utemeljujejo zaključka o tem, da toženki ni mogoče prepovedati uporabe znamke na podlagi prej registrirane geografske označbe tožnice. Izpodbijana sodba ni imela razlogov o zaključku, da ne obstajata ničnostna razloga po točkah j) prvega odstavka 43. člena in f) prvega odstavka 44. člena </w:t>
      </w:r>
      <w:r w:rsidR="005E6D51">
        <w:t xml:space="preserve">        </w:t>
      </w:r>
      <w:r w:rsidRPr="00BD3DDF">
        <w:t xml:space="preserve">ZIL-1. </w:t>
      </w:r>
    </w:p>
    <w:p w:rsidR="00CF2266" w:rsidRPr="00BD3DDF" w:rsidRDefault="00C25B86" w:rsidP="00C25B86">
      <w:pPr>
        <w:rPr>
          <w:b/>
          <w:bCs/>
        </w:rPr>
      </w:pPr>
      <w:r w:rsidRPr="00BD3DDF">
        <w:rPr>
          <w:b/>
          <w:bCs/>
        </w:rPr>
        <w:t>Komentar:</w:t>
      </w:r>
    </w:p>
    <w:p w:rsidR="00EC5796" w:rsidRPr="00BD3DDF" w:rsidRDefault="00C25B86" w:rsidP="00EC5796">
      <w:pPr>
        <w:ind w:left="720"/>
      </w:pPr>
      <w:r w:rsidRPr="00BD3DDF">
        <w:t xml:space="preserve">Odločba je pomembna, saj je začrtala pot nadaljnje presoje razlogov za ugotovitev ničnosti znamk, ki jo uveljavlja imetnik pravic zaščitene geografske označbe. Slovensko sodišče se je sklicevalo na </w:t>
      </w:r>
      <w:bookmarkStart w:id="27" w:name="_Hlk227549331"/>
      <w:r w:rsidRPr="00BD3DDF">
        <w:t xml:space="preserve">sodbo Splošnega sodišča z dne 2. februarja 2017 v zadevi </w:t>
      </w:r>
      <w:r w:rsidR="0097427D" w:rsidRPr="00BD3DDF">
        <w:t>T-510/15-</w:t>
      </w:r>
      <w:r w:rsidRPr="00BD3DDF">
        <w:rPr>
          <w:i/>
          <w:iCs/>
        </w:rPr>
        <w:t>Mengozzi</w:t>
      </w:r>
      <w:bookmarkEnd w:id="27"/>
      <w:r w:rsidRPr="00BD3DDF">
        <w:t>. V njej je sodišče zavzelo stališče, da gre lahko za navajanje geografske označbe, tudi če ni verjetnosti</w:t>
      </w:r>
      <w:r w:rsidR="007452A6" w:rsidRPr="00BD3DDF">
        <w:t xml:space="preserve"> </w:t>
      </w:r>
      <w:r w:rsidRPr="00BD3DDF">
        <w:t>zmede med zadevnimi proizvodi, saj je pomembno zlasti, da se v javnosti ne povzroči asociacija na poreklo proizvoda in da se gospodarski subjekt neopravičeno ne okoristi z ugledom ZGO</w:t>
      </w:r>
      <w:r w:rsidR="00EC5796" w:rsidRPr="00BD3DDF">
        <w:t>.</w:t>
      </w:r>
    </w:p>
    <w:p w:rsidR="00EC5796" w:rsidRDefault="00EC5796" w:rsidP="00EC5796">
      <w:pPr>
        <w:ind w:left="720"/>
      </w:pPr>
    </w:p>
    <w:p w:rsidR="005E6D51" w:rsidRPr="00BD3DDF" w:rsidRDefault="005E6D51" w:rsidP="00EC5796">
      <w:pPr>
        <w:ind w:left="720"/>
      </w:pPr>
    </w:p>
    <w:p w:rsidR="00664AE2" w:rsidRPr="00BD3DDF" w:rsidRDefault="00664AE2" w:rsidP="00664AE2">
      <w:pPr>
        <w:pStyle w:val="Naslov4"/>
      </w:pPr>
      <w:bookmarkStart w:id="28" w:name="_Toc227678356"/>
      <w:bookmarkStart w:id="29" w:name="_Hlk227549363"/>
      <w:r w:rsidRPr="00BD3DDF">
        <w:lastRenderedPageBreak/>
        <w:t>VSL Sklep V Cpg 75/2025 z dne 1. aprila 2025</w:t>
      </w:r>
      <w:bookmarkEnd w:id="28"/>
    </w:p>
    <w:bookmarkEnd w:id="29"/>
    <w:p w:rsidR="00B80B0A" w:rsidRPr="00BD3DDF" w:rsidRDefault="00B80B0A" w:rsidP="00B80B0A">
      <w:r w:rsidRPr="00BD3DDF">
        <w:rPr>
          <w:b/>
          <w:bCs/>
        </w:rPr>
        <w:t>Nacionalno pravo:</w:t>
      </w:r>
      <w:r w:rsidRPr="00BD3DDF">
        <w:t xml:space="preserve"> </w:t>
      </w:r>
    </w:p>
    <w:p w:rsidR="005B215F" w:rsidRPr="005E6D51" w:rsidRDefault="00B80B0A" w:rsidP="005E6D51">
      <w:pPr>
        <w:ind w:left="720"/>
      </w:pPr>
      <w:r w:rsidRPr="00BD3DDF">
        <w:t>Ob kršitvah pravic intelektualne lastnine je imetnikom zagotovljeno pravno varstvo z izdajo začasne odredbe v zavarovanje nedenarnih zahtevkov po 123. členu ZIL-1. Sodišče izda začasno odredbo, če predlagatelj izkaže za verjetno, da je imetnik pravice in da je bila njegova pravica kršena, ali grozi dejanska nevarnost, da bo kršena (prvi odstavek 123. člen ZIL-1). Predlagatelj mora za verjetno izkazati tudi eno izmed naslednjih predpostavk: a) nevarnost, da bo uveljavitev zahtevkov onemogočena ali precej otežena; b) da je odredba potrebna, da se prepreči nastanek težko nadomestljive škode ali c) da domnevni kršilec z izdajo začasne odredbe, če bi se tekom postopka izkazala za neutemeljeno, ne bi utrpel hujših neugodnih posledic od tistih, ki bi brez izdaje začasne odredbe nastale imetniku pravice (drugi odstavek 123. člen ZIL-1).</w:t>
      </w:r>
    </w:p>
    <w:p w:rsidR="00B80B0A" w:rsidRPr="00BD3DDF" w:rsidRDefault="00B80B0A" w:rsidP="00B80B0A">
      <w:pPr>
        <w:rPr>
          <w:b/>
          <w:bCs/>
        </w:rPr>
      </w:pPr>
      <w:r w:rsidRPr="00BD3DDF">
        <w:rPr>
          <w:b/>
          <w:bCs/>
        </w:rPr>
        <w:t>Pravo EU:</w:t>
      </w:r>
    </w:p>
    <w:p w:rsidR="00B80B0A" w:rsidRPr="00BD3DDF" w:rsidRDefault="00B80B0A" w:rsidP="006B153B">
      <w:pPr>
        <w:ind w:left="720"/>
      </w:pPr>
      <w:r w:rsidRPr="00BD3DDF">
        <w:t>Člen 123. ZIL-1 je treba razlagati upoštevaje 9. člen Direktive 2004/48/ES. V skladu s to določbo države članice zagotovijo, da lahko sodni organi na zahtevo vlagatelja</w:t>
      </w:r>
      <w:r w:rsidR="006B153B" w:rsidRPr="00BD3DDF">
        <w:t xml:space="preserve"> </w:t>
      </w:r>
      <w:r w:rsidRPr="00BD3DDF">
        <w:t>a) izdajo proti domnevnemu kršitelju pravice začasno odredbo, namenjeno preprečitvi kakršne koli neposredne kršitve pravice intelektualne lastnine, ali začasno prepovejo, po potrebi s ponavljajočimi se denarnimi kaznimi, kadar je to predvideno z nacionalno zakonodajo, nadaljevanje domnevnih kršitev navedene pravice ali za tako nadaljevanje predvidijo predložitev garancij, namenjenih zagotovitvi odškodnine imetniku pravice; ter b) odredijo zaseg ali izročitev blaga, s katerim se domnevno krši pravica</w:t>
      </w:r>
      <w:r w:rsidR="006B153B" w:rsidRPr="00BD3DDF">
        <w:t xml:space="preserve"> </w:t>
      </w:r>
      <w:r w:rsidRPr="00BD3DDF">
        <w:t>intelektualne lastnine, da se prepreči njegov vstop ali gibanje v komercialnih tokovih.</w:t>
      </w:r>
    </w:p>
    <w:p w:rsidR="008D3FDF" w:rsidRPr="005E6D51" w:rsidRDefault="00B80B0A" w:rsidP="005E6D51">
      <w:pPr>
        <w:ind w:left="720"/>
      </w:pPr>
      <w:r w:rsidRPr="00BD3DDF">
        <w:t xml:space="preserve">Na podlagi drugega odstavka 9. člena </w:t>
      </w:r>
      <w:bookmarkStart w:id="30" w:name="_Hlk227551158"/>
      <w:r w:rsidRPr="00BD3DDF">
        <w:t>Uredbe 2017/1001/EU Evropskega parlamenta in Sveta z dne 14. junija 2017 o blagovni znamki Evropske unije</w:t>
      </w:r>
      <w:r w:rsidR="005B215F" w:rsidRPr="00BD3DDF">
        <w:rPr>
          <w:rStyle w:val="Sprotnaopomba-sklic"/>
        </w:rPr>
        <w:footnoteReference w:id="8"/>
      </w:r>
      <w:r w:rsidRPr="00BD3DDF">
        <w:t xml:space="preserve"> </w:t>
      </w:r>
      <w:bookmarkEnd w:id="30"/>
      <w:r w:rsidRPr="00BD3DDF">
        <w:t xml:space="preserve">ima </w:t>
      </w:r>
      <w:r w:rsidR="006B153B" w:rsidRPr="00BD3DDF">
        <w:t xml:space="preserve">njen </w:t>
      </w:r>
      <w:r w:rsidRPr="00BD3DDF">
        <w:t xml:space="preserve">imetnik pravico, da vsem tretjim osebam prepreči, da bi brez njegovega soglasja v gospodarskem prometu v zvezi z blagom ali storitvami uporabljale kateri koli znak, </w:t>
      </w:r>
      <w:r w:rsidRPr="00BD3DDF">
        <w:lastRenderedPageBreak/>
        <w:t>če a) je znak enak blagovni znamki EU in se uporablja v zvezi z blagom ali storitvami, ki so enake tistim, za katere je registrirana blagovna znamka EU</w:t>
      </w:r>
      <w:r w:rsidR="006B153B" w:rsidRPr="00BD3DDF">
        <w:t>, oziroma</w:t>
      </w:r>
      <w:r w:rsidRPr="00BD3DDF">
        <w:t xml:space="preserve"> b) če je znak enak ali podoben blagovni znamki EU in se uporablja v zvezi z blagom ali storitvami, ki so enake ali podobne blagu ali storitvam, za katere je registrirana blagovna znamka EU, ter zaradi tega obstaja verjetnost zmede v delu javnosti, pri čemer verjetnost zmede vključuje verjetnost povezovanja znaka in blagovne znamke.</w:t>
      </w:r>
    </w:p>
    <w:p w:rsidR="00092467" w:rsidRPr="00BD3DDF" w:rsidRDefault="00092467" w:rsidP="00092467">
      <w:pPr>
        <w:rPr>
          <w:b/>
          <w:bCs/>
        </w:rPr>
      </w:pPr>
      <w:r w:rsidRPr="00BD3DDF">
        <w:rPr>
          <w:b/>
          <w:bCs/>
        </w:rPr>
        <w:t>Dejansko stanje:</w:t>
      </w:r>
    </w:p>
    <w:p w:rsidR="006B153B" w:rsidRPr="00BD3DDF" w:rsidRDefault="00092467" w:rsidP="006B153B">
      <w:pPr>
        <w:ind w:left="720"/>
      </w:pPr>
      <w:r w:rsidRPr="00BD3DDF">
        <w:t xml:space="preserve">Prva upnica je imetnica blagovnih znamk MAN, druga pa imetnica licence za uporabo blagovnih znamk, pooblaščena za njihovo uveljavljanje, in sicer štirih mednarodnih znamk z designacijo na EU ter ene figurativne znamke EU. Pod temi znamkami upnici dajeta na trg senzorje dušikovega oksida. Sporna je deklaracija na embalaži za senzor dušikovega oksida danskega proizvajalca </w:t>
      </w:r>
      <w:proofErr w:type="spellStart"/>
      <w:r w:rsidRPr="00BD3DDF">
        <w:t>Dinex</w:t>
      </w:r>
      <w:proofErr w:type="spellEnd"/>
      <w:r w:rsidRPr="00BD3DDF">
        <w:t>, ki ga trži dolžnica. Upnici sta menili, da sporna deklaracijo krši zadevne znamke, zato sta predlagali izdajo začasne odredbe s prepovednimi zahtevki.</w:t>
      </w:r>
    </w:p>
    <w:p w:rsidR="00092467" w:rsidRPr="00BD3DDF" w:rsidRDefault="00092467" w:rsidP="00092467">
      <w:pPr>
        <w:ind w:left="720"/>
      </w:pPr>
      <w:r w:rsidRPr="00BD3DDF">
        <w:rPr>
          <w:noProof/>
          <w:lang w:eastAsia="sl-SI"/>
        </w:rPr>
        <w:drawing>
          <wp:inline distT="0" distB="0" distL="0" distR="0" wp14:anchorId="2E3ECA05" wp14:editId="4789D6B7">
            <wp:extent cx="2517952" cy="1617784"/>
            <wp:effectExtent l="0" t="0" r="0" b="0"/>
            <wp:docPr id="818682631" name="Content Placeholder 4" descr="A black and white logo&#10;&#10;AI-generated content may be incorrect.">
              <a:extLst xmlns:a="http://schemas.openxmlformats.org/drawingml/2006/main">
                <a:ext uri="{FF2B5EF4-FFF2-40B4-BE49-F238E27FC236}">
                  <a16:creationId xmlns:a16="http://schemas.microsoft.com/office/drawing/2014/main" id="{2290E873-9068-F94B-FF24-8A4534493A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black and white logo&#10;&#10;AI-generated content may be incorrect.">
                      <a:extLst>
                        <a:ext uri="{FF2B5EF4-FFF2-40B4-BE49-F238E27FC236}">
                          <a16:creationId xmlns:a16="http://schemas.microsoft.com/office/drawing/2014/main" id="{2290E873-9068-F94B-FF24-8A4534493A7C}"/>
                        </a:ext>
                      </a:extLst>
                    </pic:cNvPr>
                    <pic:cNvPicPr>
                      <a:picLocks noChangeAspect="1"/>
                    </pic:cNvPicPr>
                  </pic:nvPicPr>
                  <pic:blipFill>
                    <a:blip r:embed="rId20"/>
                    <a:stretch>
                      <a:fillRect/>
                    </a:stretch>
                  </pic:blipFill>
                  <pic:spPr>
                    <a:xfrm>
                      <a:off x="0" y="0"/>
                      <a:ext cx="2528202" cy="1624370"/>
                    </a:xfrm>
                    <a:prstGeom prst="rect">
                      <a:avLst/>
                    </a:prstGeom>
                  </pic:spPr>
                </pic:pic>
              </a:graphicData>
            </a:graphic>
          </wp:inline>
        </w:drawing>
      </w:r>
    </w:p>
    <w:p w:rsidR="00092467" w:rsidRPr="00BD3DDF" w:rsidRDefault="00092467" w:rsidP="00092467">
      <w:pPr>
        <w:ind w:left="720"/>
        <w:rPr>
          <w:sz w:val="20"/>
        </w:rPr>
      </w:pPr>
      <w:r w:rsidRPr="00BD3DDF">
        <w:rPr>
          <w:sz w:val="20"/>
        </w:rPr>
        <w:t xml:space="preserve">Slika </w:t>
      </w:r>
      <w:r w:rsidR="00533D81" w:rsidRPr="00BD3DDF">
        <w:rPr>
          <w:sz w:val="20"/>
        </w:rPr>
        <w:t>3</w:t>
      </w:r>
      <w:r w:rsidRPr="00BD3DDF">
        <w:rPr>
          <w:sz w:val="20"/>
        </w:rPr>
        <w:t>: figurativna znamka, katere imetnica je prva upnica.</w:t>
      </w:r>
    </w:p>
    <w:p w:rsidR="00092467" w:rsidRPr="00BD3DDF" w:rsidRDefault="00092467" w:rsidP="00092467">
      <w:pPr>
        <w:ind w:left="720"/>
      </w:pPr>
    </w:p>
    <w:p w:rsidR="00092467" w:rsidRPr="00BD3DDF" w:rsidRDefault="00092467" w:rsidP="00092467">
      <w:pPr>
        <w:ind w:left="720"/>
      </w:pPr>
      <w:r w:rsidRPr="00BD3DDF">
        <w:rPr>
          <w:noProof/>
          <w:lang w:eastAsia="sl-SI"/>
        </w:rPr>
        <w:lastRenderedPageBreak/>
        <w:drawing>
          <wp:inline distT="0" distB="0" distL="0" distR="0" wp14:anchorId="62775732" wp14:editId="46B59246">
            <wp:extent cx="2895600" cy="1628774"/>
            <wp:effectExtent l="0" t="0" r="0" b="0"/>
            <wp:docPr id="882967146" name="Picture 6" descr="A label on a box&#10;&#10;AI-generated content may be incorrect.">
              <a:extLst xmlns:a="http://schemas.openxmlformats.org/drawingml/2006/main">
                <a:ext uri="{FF2B5EF4-FFF2-40B4-BE49-F238E27FC236}">
                  <a16:creationId xmlns:a16="http://schemas.microsoft.com/office/drawing/2014/main" id="{99F41476-61F9-5AED-BFA8-17134DA532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label on a box&#10;&#10;AI-generated content may be incorrect.">
                      <a:extLst>
                        <a:ext uri="{FF2B5EF4-FFF2-40B4-BE49-F238E27FC236}">
                          <a16:creationId xmlns:a16="http://schemas.microsoft.com/office/drawing/2014/main" id="{99F41476-61F9-5AED-BFA8-17134DA53272}"/>
                        </a:ext>
                      </a:extLst>
                    </pic:cNvPr>
                    <pic:cNvPicPr>
                      <a:picLocks noChangeAspect="1"/>
                    </pic:cNvPicPr>
                  </pic:nvPicPr>
                  <pic:blipFill>
                    <a:blip r:embed="rId21"/>
                    <a:stretch>
                      <a:fillRect/>
                    </a:stretch>
                  </pic:blipFill>
                  <pic:spPr>
                    <a:xfrm>
                      <a:off x="0" y="0"/>
                      <a:ext cx="2911973" cy="1637984"/>
                    </a:xfrm>
                    <a:prstGeom prst="rect">
                      <a:avLst/>
                    </a:prstGeom>
                  </pic:spPr>
                </pic:pic>
              </a:graphicData>
            </a:graphic>
          </wp:inline>
        </w:drawing>
      </w:r>
    </w:p>
    <w:p w:rsidR="00092467" w:rsidRPr="00BD3DDF" w:rsidRDefault="00092467" w:rsidP="00092467">
      <w:pPr>
        <w:ind w:left="720"/>
        <w:rPr>
          <w:sz w:val="20"/>
        </w:rPr>
      </w:pPr>
      <w:r w:rsidRPr="00BD3DDF">
        <w:rPr>
          <w:sz w:val="20"/>
        </w:rPr>
        <w:t xml:space="preserve">Slika </w:t>
      </w:r>
      <w:r w:rsidR="00533D81" w:rsidRPr="00BD3DDF">
        <w:rPr>
          <w:sz w:val="20"/>
        </w:rPr>
        <w:t>4</w:t>
      </w:r>
      <w:r w:rsidRPr="00BD3DDF">
        <w:rPr>
          <w:sz w:val="20"/>
        </w:rPr>
        <w:t>: toženkina deklaracija</w:t>
      </w:r>
      <w:r w:rsidR="00855176" w:rsidRPr="00BD3DDF">
        <w:rPr>
          <w:sz w:val="20"/>
        </w:rPr>
        <w:t>.</w:t>
      </w:r>
    </w:p>
    <w:p w:rsidR="005B215F" w:rsidRPr="00BD3DDF" w:rsidRDefault="005B215F" w:rsidP="00092467">
      <w:pPr>
        <w:rPr>
          <w:b/>
          <w:bCs/>
        </w:rPr>
      </w:pPr>
    </w:p>
    <w:p w:rsidR="00092467" w:rsidRPr="00BD3DDF" w:rsidRDefault="00092467" w:rsidP="00092467">
      <w:pPr>
        <w:rPr>
          <w:b/>
          <w:bCs/>
        </w:rPr>
      </w:pPr>
      <w:r w:rsidRPr="00BD3DDF">
        <w:rPr>
          <w:b/>
          <w:bCs/>
        </w:rPr>
        <w:t>Odločitev sodišč:</w:t>
      </w:r>
    </w:p>
    <w:p w:rsidR="00092467" w:rsidRPr="00BD3DDF" w:rsidRDefault="00092467" w:rsidP="00092467">
      <w:pPr>
        <w:ind w:left="720"/>
      </w:pPr>
      <w:r w:rsidRPr="00BD3DDF">
        <w:t xml:space="preserve">Sodišče prve stopnje je predlog za izdajo začasne odredbe zavrnilo, ker ni ugotovilo verjetnosti kršitve znamk. Beseda MAN na deklaraciji senzorja </w:t>
      </w:r>
      <w:proofErr w:type="spellStart"/>
      <w:r w:rsidRPr="00BD3DDF">
        <w:t>Dinex</w:t>
      </w:r>
      <w:proofErr w:type="spellEnd"/>
      <w:r w:rsidRPr="00BD3DDF">
        <w:t xml:space="preserve"> ni uporabljena kot znamka oziroma znak, s katerim bi domnevni kršitelj označeval svoje blago. Slednje je namreč na celotni embalaži jasno označeno z navedbo proizvajalca </w:t>
      </w:r>
      <w:proofErr w:type="spellStart"/>
      <w:r w:rsidRPr="00BD3DDF">
        <w:t>Dinex</w:t>
      </w:r>
      <w:proofErr w:type="spellEnd"/>
      <w:r w:rsidRPr="00BD3DDF">
        <w:t xml:space="preserve"> in njegovo blagovno znamko </w:t>
      </w:r>
      <w:proofErr w:type="spellStart"/>
      <w:r w:rsidRPr="00BD3DDF">
        <w:t>DinSensor</w:t>
      </w:r>
      <w:proofErr w:type="spellEnd"/>
      <w:r w:rsidRPr="00BD3DDF">
        <w:t>. Beseda MAN, ki je uporabljena na deklaraciji, je komaj opazna, dolžnica pa se je utemeljeno sklicevala na obstoj izjeme, ki se nanaša na referenčno rabo. Uporaba znamke je dovoljena, saj je nujna za identifikacijo vozil, za katere je primeren neoriginalni rezervni del.</w:t>
      </w:r>
    </w:p>
    <w:p w:rsidR="00092467" w:rsidRPr="00BD3DDF" w:rsidRDefault="00092467" w:rsidP="00092467">
      <w:pPr>
        <w:ind w:left="720"/>
      </w:pPr>
      <w:r w:rsidRPr="00BD3DDF">
        <w:t>Pritožbeno sodišče je potrdilo odločitev prvostopenjskega sodišča.</w:t>
      </w:r>
      <w:r w:rsidR="007452A6" w:rsidRPr="00BD3DDF">
        <w:t xml:space="preserve"> </w:t>
      </w:r>
      <w:r w:rsidRPr="00BD3DDF">
        <w:t>Izpostavilo je, da</w:t>
      </w:r>
      <w:r w:rsidR="007452A6" w:rsidRPr="00BD3DDF">
        <w:rPr>
          <w:i/>
          <w:iCs/>
        </w:rPr>
        <w:t xml:space="preserve"> </w:t>
      </w:r>
      <w:r w:rsidRPr="00BD3DDF">
        <w:t xml:space="preserve">sta embalaža in deklaracija celota. Kot znaka ni mogoče šteti le posamičnega elementa, iztrganega iz grafične celote, saj zgolj ta izsek ni tisto, s čimer se domnevni kršitelj predstavlja v gospodarskem prometu. Na embalaži domnevno kršečega blaga je dominantna in poudarjena blagovna znamka proizvajalca </w:t>
      </w:r>
      <w:proofErr w:type="spellStart"/>
      <w:r w:rsidRPr="00BD3DDF">
        <w:t>DinSensorTM</w:t>
      </w:r>
      <w:proofErr w:type="spellEnd"/>
      <w:r w:rsidRPr="00BD3DDF">
        <w:t xml:space="preserve"> in proizvajalec </w:t>
      </w:r>
      <w:proofErr w:type="spellStart"/>
      <w:r w:rsidRPr="00BD3DDF">
        <w:t>Dinex</w:t>
      </w:r>
      <w:proofErr w:type="spellEnd"/>
      <w:r w:rsidRPr="00BD3DDF">
        <w:t xml:space="preserve">. Beseda MAN pa se uporablja </w:t>
      </w:r>
      <w:r w:rsidR="00407B09" w:rsidRPr="00BD3DDF">
        <w:t>v besedni zvezi</w:t>
      </w:r>
      <w:r w:rsidRPr="00BD3DDF">
        <w:t xml:space="preserve"> kot „</w:t>
      </w:r>
      <w:proofErr w:type="spellStart"/>
      <w:r w:rsidRPr="00BD3DDF">
        <w:t>NOx</w:t>
      </w:r>
      <w:proofErr w:type="spellEnd"/>
      <w:r w:rsidRPr="00BD3DDF">
        <w:t xml:space="preserve"> </w:t>
      </w:r>
      <w:proofErr w:type="spellStart"/>
      <w:r w:rsidRPr="00BD3DDF">
        <w:t>Sensor</w:t>
      </w:r>
      <w:proofErr w:type="spellEnd"/>
      <w:r w:rsidRPr="00BD3DDF">
        <w:t xml:space="preserve"> MAN E6“, torej v okviru opisa namena blaga. S stopnjo verjetnosti je tako izkazana referenčna uporaba, ki ima le informacijski pomen.</w:t>
      </w:r>
    </w:p>
    <w:p w:rsidR="00407B09" w:rsidRPr="00BD3DDF" w:rsidRDefault="00407B09" w:rsidP="00407B09">
      <w:pPr>
        <w:rPr>
          <w:b/>
          <w:bCs/>
        </w:rPr>
      </w:pPr>
      <w:r w:rsidRPr="00BD3DDF">
        <w:rPr>
          <w:b/>
          <w:bCs/>
        </w:rPr>
        <w:t>Komentar</w:t>
      </w:r>
    </w:p>
    <w:p w:rsidR="001831C9" w:rsidRPr="00BD3DDF" w:rsidRDefault="00407B09" w:rsidP="005E6D51">
      <w:pPr>
        <w:ind w:left="720"/>
      </w:pPr>
      <w:r w:rsidRPr="00BD3DDF">
        <w:t>Sodišče je pri presoji referenčne uporabe blagovne znamke na deklaraciji blaga, ki se nahaja na embalaži, upoštevalo stališča SEU.</w:t>
      </w:r>
    </w:p>
    <w:p w:rsidR="00664AE2" w:rsidRPr="00BD3DDF" w:rsidRDefault="00664AE2" w:rsidP="00664AE2">
      <w:pPr>
        <w:pStyle w:val="Naslov4"/>
      </w:pPr>
      <w:bookmarkStart w:id="31" w:name="_Toc227678357"/>
      <w:bookmarkStart w:id="32" w:name="_Hlk227551309"/>
      <w:r w:rsidRPr="00BD3DDF">
        <w:lastRenderedPageBreak/>
        <w:t>VSL Sodba V Cpg 505/2024 z dne 16. oktobra 2025</w:t>
      </w:r>
      <w:bookmarkEnd w:id="31"/>
    </w:p>
    <w:bookmarkEnd w:id="32"/>
    <w:p w:rsidR="00664AE2" w:rsidRPr="00BD3DDF" w:rsidRDefault="00664AE2" w:rsidP="00664AE2">
      <w:pPr>
        <w:rPr>
          <w:b/>
          <w:bCs/>
          <w:szCs w:val="24"/>
        </w:rPr>
      </w:pPr>
      <w:r w:rsidRPr="00BD3DDF">
        <w:rPr>
          <w:b/>
          <w:bCs/>
          <w:szCs w:val="24"/>
        </w:rPr>
        <w:t>Nacionalno pravo:</w:t>
      </w:r>
    </w:p>
    <w:p w:rsidR="00664AE2" w:rsidRPr="00BD3DDF" w:rsidRDefault="00664AE2" w:rsidP="00664AE2">
      <w:pPr>
        <w:ind w:left="720"/>
        <w:rPr>
          <w:szCs w:val="24"/>
        </w:rPr>
      </w:pPr>
      <w:r w:rsidRPr="00BD3DDF">
        <w:rPr>
          <w:bCs/>
          <w:szCs w:val="24"/>
        </w:rPr>
        <w:t>ZIL-1</w:t>
      </w:r>
      <w:r w:rsidRPr="00BD3DDF">
        <w:rPr>
          <w:szCs w:val="24"/>
        </w:rPr>
        <w:t xml:space="preserve"> v </w:t>
      </w:r>
      <w:r w:rsidRPr="00BD3DDF">
        <w:rPr>
          <w:bCs/>
          <w:szCs w:val="24"/>
        </w:rPr>
        <w:t>44. členu</w:t>
      </w:r>
      <w:r w:rsidRPr="00BD3DDF">
        <w:rPr>
          <w:szCs w:val="24"/>
        </w:rPr>
        <w:t xml:space="preserve"> določa, da se kot znamka ne sme registrirati znak, ki je enak ali podoben prejšnji znamki druge osebe in če so blago ali storitve, na katere se nanašata znak in znamka, enaki ali podobni, zaradi česar obstaja verjetnost zmede v javnosti, pri čemer verjetnost zmede vključuje verjetnost povezovanja s prejšnjo znamko (točka b prvega odstavka 44. člena). Prejšnja znamka po prejšnjem odstavku pomeni znamko, za katero je bilo zahtevano varstvo v Republiki Sloveniji na podlagi mednarodne prijave pred datumom vložitve prijave kasnejše znamke ali datumom prednostne pravice, če je ta zahtevana (točka b drugega odstavka 44. člena).</w:t>
      </w:r>
    </w:p>
    <w:p w:rsidR="00664AE2" w:rsidRPr="00BD3DDF" w:rsidRDefault="00664AE2" w:rsidP="00664AE2">
      <w:pPr>
        <w:ind w:left="720"/>
        <w:rPr>
          <w:szCs w:val="24"/>
        </w:rPr>
      </w:pPr>
      <w:r w:rsidRPr="00BD3DDF">
        <w:rPr>
          <w:szCs w:val="24"/>
        </w:rPr>
        <w:t>Sodišče je v sporu odločalo na podlagi določil ZIL-1E, ki je relativni razlog za zavrnitev znamke določal kot ničnostni razlog, ki se uveljavlja s tožbo pred sodiščem</w:t>
      </w:r>
      <w:r w:rsidR="007452A6" w:rsidRPr="00BD3DDF">
        <w:rPr>
          <w:szCs w:val="24"/>
        </w:rPr>
        <w:t xml:space="preserve"> </w:t>
      </w:r>
      <w:r w:rsidRPr="00BD3DDF">
        <w:rPr>
          <w:szCs w:val="24"/>
        </w:rPr>
        <w:t>po točki b) prvega odstavka 114. člena ZIL-1 v zvezi s 44. členom ZIL-1.</w:t>
      </w:r>
    </w:p>
    <w:p w:rsidR="00664AE2" w:rsidRPr="00BD3DDF" w:rsidRDefault="00664AE2" w:rsidP="00664AE2">
      <w:pPr>
        <w:rPr>
          <w:b/>
          <w:bCs/>
          <w:szCs w:val="24"/>
        </w:rPr>
      </w:pPr>
      <w:r w:rsidRPr="00BD3DDF">
        <w:rPr>
          <w:b/>
          <w:bCs/>
          <w:szCs w:val="24"/>
        </w:rPr>
        <w:t xml:space="preserve">Pravo EU: </w:t>
      </w:r>
      <w:bookmarkStart w:id="33" w:name="title"/>
      <w:bookmarkEnd w:id="33"/>
    </w:p>
    <w:p w:rsidR="00664AE2" w:rsidRPr="00BD3DDF" w:rsidRDefault="00664AE2" w:rsidP="00664AE2">
      <w:pPr>
        <w:ind w:left="720"/>
        <w:rPr>
          <w:szCs w:val="24"/>
        </w:rPr>
      </w:pPr>
      <w:bookmarkStart w:id="34" w:name="_Hlk227551359"/>
      <w:r w:rsidRPr="00BD3DDF">
        <w:rPr>
          <w:szCs w:val="24"/>
        </w:rPr>
        <w:t>Direktiva (EU) 2015/2436 Evropskega parlamenta in Sveta z dne 16. decembra 2015 o približevanju zakonodaje držav članic v zvezi z blagovnimi znamkami</w:t>
      </w:r>
      <w:r w:rsidR="00DB2696" w:rsidRPr="00BD3DDF">
        <w:rPr>
          <w:rStyle w:val="Sprotnaopomba-sklic"/>
          <w:szCs w:val="24"/>
        </w:rPr>
        <w:footnoteReference w:id="9"/>
      </w:r>
      <w:r w:rsidRPr="00BD3DDF">
        <w:rPr>
          <w:szCs w:val="24"/>
        </w:rPr>
        <w:t xml:space="preserve"> </w:t>
      </w:r>
      <w:bookmarkEnd w:id="34"/>
      <w:r w:rsidRPr="00BD3DDF">
        <w:rPr>
          <w:szCs w:val="24"/>
        </w:rPr>
        <w:t>v 5. členu določa relativne razloge za zavrnitev ali ničnost znamke. Blagovna</w:t>
      </w:r>
      <w:r w:rsidRPr="00BD3DDF">
        <w:rPr>
          <w:b/>
          <w:bCs/>
          <w:szCs w:val="24"/>
        </w:rPr>
        <w:t xml:space="preserve"> </w:t>
      </w:r>
      <w:r w:rsidRPr="00BD3DDF">
        <w:rPr>
          <w:szCs w:val="24"/>
        </w:rPr>
        <w:t>znamka se med drugim ne registrira ali, če je registrirana, se jo ugotovi za nično, če zaradi enakosti ali podobnosti s prejšnjo blagovno znamko in enakosti ali podobnosti blaga ali storitev, označenih z blagovnimi znamkami, obstaja verjetnost zmede v javnosti, pri čemer verjetnost zmede vključuje verjetnost povezovanja s prejšnjo blagovno znamko (točka (b) prvega odstavka 5. člena Direktive). „Prejšnja blagovna znamka“ v smislu odstavka 1 je tudi blagovna znamka EU.</w:t>
      </w:r>
    </w:p>
    <w:p w:rsidR="00664AE2" w:rsidRPr="00BD3DDF" w:rsidRDefault="00664AE2" w:rsidP="00664AE2">
      <w:pPr>
        <w:rPr>
          <w:b/>
          <w:bCs/>
          <w:szCs w:val="24"/>
        </w:rPr>
      </w:pPr>
      <w:r w:rsidRPr="00BD3DDF">
        <w:rPr>
          <w:b/>
          <w:bCs/>
          <w:szCs w:val="24"/>
        </w:rPr>
        <w:t>Dejansko stanje:</w:t>
      </w:r>
    </w:p>
    <w:p w:rsidR="00664AE2" w:rsidRPr="00BD3DDF" w:rsidRDefault="00664AE2" w:rsidP="00664AE2">
      <w:pPr>
        <w:ind w:left="720"/>
        <w:rPr>
          <w:szCs w:val="24"/>
        </w:rPr>
      </w:pPr>
      <w:r w:rsidRPr="00BD3DDF">
        <w:rPr>
          <w:szCs w:val="24"/>
        </w:rPr>
        <w:t>Tožnica je imetnica starejše besedne znamke EU »NANA«. Toženka je imetnica nacionalne besedne znamke »NANA«.</w:t>
      </w:r>
      <w:r w:rsidR="007452A6" w:rsidRPr="00BD3DDF">
        <w:rPr>
          <w:szCs w:val="24"/>
        </w:rPr>
        <w:t xml:space="preserve"> </w:t>
      </w:r>
      <w:r w:rsidRPr="00BD3DDF">
        <w:rPr>
          <w:szCs w:val="24"/>
        </w:rPr>
        <w:t>Obe znamki sta sestavljeni iz enakega znaka</w:t>
      </w:r>
      <w:r w:rsidR="004B6EC1" w:rsidRPr="00BD3DDF">
        <w:rPr>
          <w:szCs w:val="24"/>
        </w:rPr>
        <w:t xml:space="preserve">, in sicer </w:t>
      </w:r>
      <w:r w:rsidRPr="00BD3DDF">
        <w:rPr>
          <w:szCs w:val="24"/>
        </w:rPr>
        <w:t xml:space="preserve">besede NANA (tiskano, brez grafike), registrirani pa sta za blago v razredu </w:t>
      </w:r>
      <w:r w:rsidRPr="00BD3DDF">
        <w:rPr>
          <w:szCs w:val="24"/>
        </w:rPr>
        <w:lastRenderedPageBreak/>
        <w:t xml:space="preserve">03 </w:t>
      </w:r>
      <w:proofErr w:type="spellStart"/>
      <w:r w:rsidR="004B6EC1" w:rsidRPr="00BD3DDF">
        <w:rPr>
          <w:szCs w:val="24"/>
        </w:rPr>
        <w:t>Nicejske</w:t>
      </w:r>
      <w:proofErr w:type="spellEnd"/>
      <w:r w:rsidR="004B6EC1" w:rsidRPr="00BD3DDF">
        <w:rPr>
          <w:szCs w:val="24"/>
        </w:rPr>
        <w:t xml:space="preserve"> </w:t>
      </w:r>
      <w:r w:rsidRPr="00BD3DDF">
        <w:rPr>
          <w:szCs w:val="24"/>
        </w:rPr>
        <w:t>klasifikacije. Znamka tožeče stranke je registrirana za blago za odišavljenje prostorov in eterična olja za odišavljenje prostorov, razen vonjev z vsebnostjo mete. Znamka tožene stranke je registrirana za blago za nego telesa oziroma kozmetične izdelke (izdelke za nego kože) za ljudi in živali ter izdelke za čiščenje. Tožnica je zatrjevala, da je toženkina znamka registrirana v nasprotju s točko b) prvega odstavka 44. člena ZIL-1, ker zaradi enakosti z znakom tožničine znamke in enakosti ali podobnosti blaga, na katero se nanašata obe znamki, obstaja verjetnost zmede v javnosti, pri čemer verjetnost zmede vključuje verjetnost povezovanja toženkine znamke s tožničino znamko.</w:t>
      </w:r>
    </w:p>
    <w:p w:rsidR="00664AE2" w:rsidRPr="00BD3DDF" w:rsidRDefault="00664AE2" w:rsidP="00664AE2">
      <w:pPr>
        <w:rPr>
          <w:b/>
          <w:bCs/>
          <w:szCs w:val="24"/>
        </w:rPr>
      </w:pPr>
      <w:r w:rsidRPr="00BD3DDF">
        <w:rPr>
          <w:b/>
          <w:bCs/>
          <w:szCs w:val="24"/>
        </w:rPr>
        <w:t>Odločitev sodišč:</w:t>
      </w:r>
    </w:p>
    <w:p w:rsidR="00664AE2" w:rsidRPr="00BD3DDF" w:rsidRDefault="00664AE2" w:rsidP="00664AE2">
      <w:pPr>
        <w:ind w:left="720"/>
        <w:rPr>
          <w:szCs w:val="24"/>
        </w:rPr>
      </w:pPr>
      <w:r w:rsidRPr="00BD3DDF">
        <w:rPr>
          <w:szCs w:val="24"/>
        </w:rPr>
        <w:t>Sodišče prve stopnje je zavrnilo tožbeni zahtevek za ugotovitev ničnosti znamke. Ugotovilo je, da sta narava in namen uporabe izdelkov za odišavljenje prostorov drugačna kot pri izdelkih za osebno nego oziroma kozmetiko in izdelkih za čiščenje. Zato ni tako pomembno, če lahko eni in drugi vsebujejo podobno (naravno) sestavino. Upoštevajoč različen način uporabe, element komplementarnosti blaga ni pomemben. Tožničina znamka po presoji sodišča z uporabo ni pridobila tolikšnega razlikovalnega učinka, da bi potrošniki proizvode, označene z znakom NANA, povezovali s tožnico, ob pojavu toženkinih proizvodov s tem istim znakom pa menili, da blago izvira od tožnice namesto od toženke. Ker gre za proizvode vsakodnevne potrošnje v gospodinjstvu, je povprečno skrbnemu potrošniku zaradi zadostnih razlik med njimi jasno, da ne prihajajo iz istega vira.</w:t>
      </w:r>
    </w:p>
    <w:p w:rsidR="00664AE2" w:rsidRPr="00BD3DDF" w:rsidRDefault="00664AE2" w:rsidP="00664AE2">
      <w:pPr>
        <w:ind w:left="720"/>
        <w:rPr>
          <w:szCs w:val="24"/>
        </w:rPr>
      </w:pPr>
      <w:r w:rsidRPr="00BD3DDF">
        <w:rPr>
          <w:szCs w:val="24"/>
        </w:rPr>
        <w:t xml:space="preserve">Pritožbeno sodišče je odločitev potrdilo. Izpostavilo je, da je SEU že opredelilo dejavnike za ugotavljanje podobnosti blaga v zvezi s presojo relativnih razlogov za zavrnitev znamke. Ti so: narava blaga, namen blaga, način njegove uporabe, njegova </w:t>
      </w:r>
      <w:r w:rsidR="00EA5782" w:rsidRPr="00BD3DDF">
        <w:rPr>
          <w:szCs w:val="24"/>
        </w:rPr>
        <w:t>komplementarnost</w:t>
      </w:r>
      <w:r w:rsidRPr="00BD3DDF">
        <w:rPr>
          <w:szCs w:val="24"/>
        </w:rPr>
        <w:t>, konkurenčnost ali zamenljivost, distribucijske poti/prodajne točke, upoštevna javnost</w:t>
      </w:r>
      <w:r w:rsidR="00EA5782" w:rsidRPr="00BD3DDF">
        <w:rPr>
          <w:szCs w:val="24"/>
        </w:rPr>
        <w:t xml:space="preserve"> ter</w:t>
      </w:r>
      <w:r w:rsidRPr="00BD3DDF">
        <w:rPr>
          <w:szCs w:val="24"/>
        </w:rPr>
        <w:t xml:space="preserve"> običajni izvor. Vendar pa je vprašanje dejstev, ali in v kakšnem obsegu so ti dejavniki v konkretnem primeru izpolnjeni. To pomeni, da je bilo na tožnici breme, da napolni navedene pravne pojme tako, da navede in dokaže dejstva, s katerimi utemeljuje stališče o podobnosti blaga, ki je predmet presoje. Takšnemu trditvenemu in dokaznemu bremenu tožnica ni </w:t>
      </w:r>
      <w:r w:rsidRPr="00BD3DDF">
        <w:rPr>
          <w:szCs w:val="24"/>
        </w:rPr>
        <w:lastRenderedPageBreak/>
        <w:t>zadostila. V svoji trditveni podlagi je le razvrstila blago obeh pravdnih strank na nekakšen „najmanjši skupni imenovalec“ ter v povezavi s tem zatrjevala zgolj komplementarnost blaga in posledično njegovo enakost ali podobnost. Sodišče prve stopnje je, razen zatrjevane komplementarnosti, ostale dejavnike pravilno presojalo le skozi dejstva, ki so glede zadevnega blaga splošno znana. Višje sodišče je tudi pritrdilo sodišču prve stopnje, da se surovine, ki se preoblikujejo, razlikujejo od končnih proizvodov, ki te surovine vključujejo.</w:t>
      </w:r>
    </w:p>
    <w:p w:rsidR="00664AE2" w:rsidRPr="00BD3DDF" w:rsidRDefault="00664AE2" w:rsidP="00664AE2">
      <w:pPr>
        <w:rPr>
          <w:b/>
          <w:bCs/>
          <w:szCs w:val="24"/>
        </w:rPr>
      </w:pPr>
      <w:r w:rsidRPr="00BD3DDF">
        <w:rPr>
          <w:b/>
          <w:bCs/>
          <w:szCs w:val="24"/>
        </w:rPr>
        <w:t>Komentar:</w:t>
      </w:r>
    </w:p>
    <w:p w:rsidR="00664AE2" w:rsidRPr="00BD3DDF" w:rsidRDefault="00664AE2" w:rsidP="00664AE2">
      <w:pPr>
        <w:ind w:left="720"/>
        <w:rPr>
          <w:szCs w:val="24"/>
        </w:rPr>
      </w:pPr>
      <w:r w:rsidRPr="00BD3DDF">
        <w:rPr>
          <w:szCs w:val="24"/>
        </w:rPr>
        <w:t>Sodišče se je oprlo na stališča SEU, ki je v</w:t>
      </w:r>
      <w:bookmarkStart w:id="35" w:name="_Hlk227551742"/>
      <w:r w:rsidR="00EA5782" w:rsidRPr="00BD3DDF">
        <w:rPr>
          <w:szCs w:val="24"/>
        </w:rPr>
        <w:t xml:space="preserve"> sodbi</w:t>
      </w:r>
      <w:r w:rsidRPr="00BD3DDF">
        <w:rPr>
          <w:szCs w:val="24"/>
        </w:rPr>
        <w:t xml:space="preserve"> </w:t>
      </w:r>
      <w:r w:rsidR="00EA5782" w:rsidRPr="00BD3DDF">
        <w:rPr>
          <w:szCs w:val="24"/>
        </w:rPr>
        <w:t xml:space="preserve">z dne 29. septembra 1998 v </w:t>
      </w:r>
      <w:r w:rsidRPr="00BD3DDF">
        <w:rPr>
          <w:szCs w:val="24"/>
        </w:rPr>
        <w:t>zadevi C-39/97-</w:t>
      </w:r>
      <w:r w:rsidRPr="00BD3DDF">
        <w:rPr>
          <w:i/>
          <w:iCs/>
          <w:szCs w:val="24"/>
        </w:rPr>
        <w:t>Metro-Goldwyn-Mayer</w:t>
      </w:r>
      <w:r w:rsidRPr="00BD3DDF">
        <w:rPr>
          <w:szCs w:val="24"/>
        </w:rPr>
        <w:t xml:space="preserve"> </w:t>
      </w:r>
      <w:bookmarkEnd w:id="35"/>
      <w:r w:rsidRPr="00BD3DDF">
        <w:rPr>
          <w:szCs w:val="24"/>
        </w:rPr>
        <w:t>že</w:t>
      </w:r>
      <w:r w:rsidR="007452A6" w:rsidRPr="00BD3DDF">
        <w:rPr>
          <w:szCs w:val="24"/>
        </w:rPr>
        <w:t xml:space="preserve"> </w:t>
      </w:r>
      <w:r w:rsidRPr="00BD3DDF">
        <w:rPr>
          <w:szCs w:val="24"/>
        </w:rPr>
        <w:t>opredelilo dejavnike za ugotavljanje podobnosti blaga v zvezi s presojo relativnih razlogov za zavrnitev znamke in pojasnilo, da je, opredelitev meril za njihovo presojo vprašanje prava. Vprašanje dejstev pa je, ali in v kakšnem obsegu so ti dejavniki v konkretnem primeru izpolnjeni. V zvezi</w:t>
      </w:r>
      <w:r w:rsidR="007452A6" w:rsidRPr="00BD3DDF">
        <w:rPr>
          <w:szCs w:val="24"/>
        </w:rPr>
        <w:t xml:space="preserve"> </w:t>
      </w:r>
      <w:r w:rsidRPr="00BD3DDF">
        <w:rPr>
          <w:szCs w:val="24"/>
        </w:rPr>
        <w:t>s pravno pomembnimi dejstvi za presojo o podobnosti blaga, se je sodišče sklicevalo na</w:t>
      </w:r>
      <w:r w:rsidR="007452A6" w:rsidRPr="00BD3DDF">
        <w:rPr>
          <w:szCs w:val="24"/>
        </w:rPr>
        <w:t xml:space="preserve"> </w:t>
      </w:r>
      <w:r w:rsidRPr="00BD3DDF">
        <w:rPr>
          <w:szCs w:val="24"/>
        </w:rPr>
        <w:t>že zavzeta stališča</w:t>
      </w:r>
      <w:r w:rsidR="007452A6" w:rsidRPr="00BD3DDF">
        <w:rPr>
          <w:szCs w:val="24"/>
        </w:rPr>
        <w:t xml:space="preserve"> </w:t>
      </w:r>
      <w:r w:rsidRPr="00BD3DDF">
        <w:rPr>
          <w:szCs w:val="24"/>
        </w:rPr>
        <w:t>Splošnega sodišča EU. V praksi je pomembno, da imetniki prejšnje znamke, ki uveljavljajo relativne razloge za zavrnitev kasnejše znamke, navedejo konkretna dejstva o dejavnikih, ki so pomembni za presojo obstoja relativnih razlogov za zavrnitev znamke.</w:t>
      </w:r>
      <w:r w:rsidR="007452A6" w:rsidRPr="00BD3DDF">
        <w:rPr>
          <w:szCs w:val="24"/>
        </w:rPr>
        <w:t xml:space="preserve">  </w:t>
      </w:r>
      <w:r w:rsidRPr="00BD3DDF">
        <w:rPr>
          <w:szCs w:val="24"/>
        </w:rPr>
        <w:t xml:space="preserve"> </w:t>
      </w:r>
    </w:p>
    <w:p w:rsidR="00664AE2" w:rsidRPr="00BD3DDF" w:rsidRDefault="00664AE2" w:rsidP="00EC5796">
      <w:pPr>
        <w:ind w:left="720"/>
      </w:pPr>
    </w:p>
    <w:p w:rsidR="00C25B86" w:rsidRPr="00BD3DDF" w:rsidRDefault="00B00B08" w:rsidP="00B00B08">
      <w:pPr>
        <w:pStyle w:val="Naslov4"/>
      </w:pPr>
      <w:bookmarkStart w:id="36" w:name="_Toc227678358"/>
      <w:bookmarkStart w:id="37" w:name="_Hlk227551773"/>
      <w:r w:rsidRPr="00BD3DDF">
        <w:t>VSL Sodba V Cpg 119/2024</w:t>
      </w:r>
      <w:r w:rsidR="007452A6" w:rsidRPr="00BD3DDF">
        <w:t xml:space="preserve"> </w:t>
      </w:r>
      <w:r w:rsidRPr="00BD3DDF">
        <w:t>z dne 14. maja 202</w:t>
      </w:r>
      <w:r w:rsidR="00835099" w:rsidRPr="00BD3DDF">
        <w:t>5</w:t>
      </w:r>
      <w:bookmarkEnd w:id="36"/>
    </w:p>
    <w:bookmarkEnd w:id="37"/>
    <w:p w:rsidR="00B00B08" w:rsidRPr="00BD3DDF" w:rsidRDefault="00B00B08" w:rsidP="00B00B08">
      <w:pPr>
        <w:rPr>
          <w:b/>
          <w:bCs/>
          <w:szCs w:val="24"/>
        </w:rPr>
      </w:pPr>
      <w:r w:rsidRPr="00BD3DDF">
        <w:rPr>
          <w:b/>
          <w:bCs/>
          <w:szCs w:val="24"/>
        </w:rPr>
        <w:t>Nacionalno pravo:</w:t>
      </w:r>
    </w:p>
    <w:p w:rsidR="00B00B08" w:rsidRPr="00BD3DDF" w:rsidRDefault="00975C0F" w:rsidP="002C2D42">
      <w:pPr>
        <w:ind w:left="720"/>
      </w:pPr>
      <w:bookmarkStart w:id="38" w:name="_Hlk227551926"/>
      <w:r w:rsidRPr="00BD3DDF">
        <w:t>Zakon o avtorski in sorodnih pravicah (</w:t>
      </w:r>
      <w:r w:rsidR="00B00B08" w:rsidRPr="00BD3DDF">
        <w:t>ZASP</w:t>
      </w:r>
      <w:r w:rsidRPr="00BD3DDF">
        <w:t>)</w:t>
      </w:r>
      <w:r w:rsidRPr="00BD3DDF">
        <w:rPr>
          <w:rStyle w:val="Sprotnaopomba-sklic"/>
        </w:rPr>
        <w:footnoteReference w:id="10"/>
      </w:r>
      <w:r w:rsidR="00B00B08" w:rsidRPr="00BD3DDF">
        <w:t xml:space="preserve"> </w:t>
      </w:r>
      <w:bookmarkEnd w:id="38"/>
      <w:r w:rsidR="00B00B08" w:rsidRPr="00BD3DDF">
        <w:t xml:space="preserve">v </w:t>
      </w:r>
      <w:r w:rsidR="00EA5782" w:rsidRPr="00BD3DDF">
        <w:t>prvem</w:t>
      </w:r>
      <w:r w:rsidR="00B00B08" w:rsidRPr="00BD3DDF">
        <w:t xml:space="preserve"> odstavku 7. člen</w:t>
      </w:r>
      <w:r w:rsidR="00EA5782" w:rsidRPr="00BD3DDF">
        <w:t>a</w:t>
      </w:r>
      <w:r w:rsidR="00B00B08" w:rsidRPr="00BD3DDF">
        <w:t xml:space="preserve"> določa, da so spremembe in druge predelave prvotnega avtorskega dela ali drugega gradiva, ki so individualna intelektualna stvaritev, samostojna avtorska dela. S predelavo iz prejšnjega odstavka ne smejo biti prizadete pravice avtorja prvotnega dela. Ob </w:t>
      </w:r>
      <w:r w:rsidR="00B00B08" w:rsidRPr="00BD3DDF">
        <w:lastRenderedPageBreak/>
        <w:t>kršitvi izključnih pravic iz ZASP lahko upravičenec zahteva</w:t>
      </w:r>
      <w:r w:rsidR="007452A6" w:rsidRPr="00BD3DDF">
        <w:t xml:space="preserve"> </w:t>
      </w:r>
      <w:r w:rsidR="00B00B08" w:rsidRPr="00BD3DDF">
        <w:t>da se prepovejo kršenje in bodoče kršitve (167. člen ZASP).</w:t>
      </w:r>
    </w:p>
    <w:p w:rsidR="00B00B08" w:rsidRPr="00BD3DDF" w:rsidRDefault="00B00B08" w:rsidP="002C2D42">
      <w:pPr>
        <w:ind w:left="720"/>
      </w:pPr>
      <w:r w:rsidRPr="00BD3DDF">
        <w:t>ZIL-1 v točki b) prvega odstavka 47. člena določa, da daje znamka imetniku izključno pravico do njene uporabe in druge izključne pravice po tem zakonu. Brez poseganja v pravice imetnika, ki so bile pridobljene pred datumom vložitve prijave znamke ali datumom prednostne pravice, ima imetnik znamke pravico preprečiti tretjim osebam, ki nimajo njegovega soglasja, da v gospodarskem prometu v povezavi z blagom ali storitvami uporabljajo znak, pri katerem zaradi njegove enakosti ali podobnosti z znamko in enakosti ali podobnosti blaga ali storitev, obseženih z znamko in znakom, obstaja verjetnost zmede v javnosti, ki vključuje verjetnost povezovanja med znakom in znamko. Zoper osebo, ki brez soglasja imetnika pravice posega v njegove pravice iz znamke lahko imetnik pravice s tožbo pri pristojnem sodišču zahteva:, da se prepovejo kršenje in bodoče kršitve (121. člen ZIL-1).</w:t>
      </w:r>
    </w:p>
    <w:p w:rsidR="00B00B08" w:rsidRPr="00BD3DDF" w:rsidRDefault="00BB6F7A" w:rsidP="002C2D42">
      <w:pPr>
        <w:ind w:left="720"/>
      </w:pPr>
      <w:r w:rsidRPr="00BD3DDF">
        <w:t xml:space="preserve">Zakon o preprečevanju omejevanja </w:t>
      </w:r>
      <w:r w:rsidR="0098757D" w:rsidRPr="00BD3DDF">
        <w:t>(</w:t>
      </w:r>
      <w:r w:rsidRPr="00BD3DDF">
        <w:t>ZPOmK-2</w:t>
      </w:r>
      <w:r w:rsidR="0098757D" w:rsidRPr="00BD3DDF">
        <w:t>)</w:t>
      </w:r>
      <w:r w:rsidR="0059713C" w:rsidRPr="00BD3DDF">
        <w:rPr>
          <w:rStyle w:val="Sprotnaopomba-sklic"/>
        </w:rPr>
        <w:footnoteReference w:id="11"/>
      </w:r>
      <w:r w:rsidR="00B00B08" w:rsidRPr="00BD3DDF">
        <w:t xml:space="preserve"> v 134. členu določa, da so prepovedana dejanja nelojalne konkurence, med drugim prodaja blaga z označbami ali podatki, ki ustvarjajo ali utegnejo ustvariti zmedo glede izvora, načina proizvodnje, količine, kakovosti ali drugih lastnosti blaga.</w:t>
      </w:r>
    </w:p>
    <w:p w:rsidR="002C2D42" w:rsidRPr="00BD3DDF" w:rsidRDefault="002C2D42" w:rsidP="002C2D42">
      <w:pPr>
        <w:rPr>
          <w:b/>
          <w:bCs/>
        </w:rPr>
      </w:pPr>
      <w:r w:rsidRPr="00BD3DDF">
        <w:rPr>
          <w:b/>
          <w:bCs/>
        </w:rPr>
        <w:t>Pravo EU:</w:t>
      </w:r>
    </w:p>
    <w:p w:rsidR="002C2D42" w:rsidRPr="00BD3DDF" w:rsidRDefault="002C2D42" w:rsidP="002C2D42">
      <w:pPr>
        <w:ind w:left="720"/>
      </w:pPr>
      <w:r w:rsidRPr="00BD3DDF">
        <w:t xml:space="preserve">Direktiva 2004/48/ES v prvem odstavku </w:t>
      </w:r>
      <w:r w:rsidR="00975C0F" w:rsidRPr="00BD3DDF">
        <w:t xml:space="preserve">3. </w:t>
      </w:r>
      <w:r w:rsidRPr="00BD3DDF">
        <w:t>člena določa, da države članice predvidijo ukrepe, postopke in pravna sredstva, potrebne za zagotovitev uveljavitve pravic intelektualne lastnine, ki jih zajema ta direktiva. Ti ukrepi, postopki in pravna sredstva so pošteni in pravični in niso po nepotrebnem zapleteni ali dragi in ne vsebujejo nerazumnih časovnih rokov ali neupravičenih zamud.</w:t>
      </w:r>
    </w:p>
    <w:p w:rsidR="002C2D42" w:rsidRPr="00BD3DDF" w:rsidRDefault="00EC5796" w:rsidP="00EC5796">
      <w:pPr>
        <w:rPr>
          <w:b/>
          <w:bCs/>
        </w:rPr>
      </w:pPr>
      <w:r w:rsidRPr="00BD3DDF">
        <w:rPr>
          <w:b/>
          <w:bCs/>
        </w:rPr>
        <w:t>Dejansko stanje:</w:t>
      </w:r>
    </w:p>
    <w:p w:rsidR="00EC5796" w:rsidRPr="00BD3DDF" w:rsidRDefault="00EC5796" w:rsidP="00EC5796">
      <w:pPr>
        <w:ind w:left="720"/>
      </w:pPr>
      <w:r w:rsidRPr="00BD3DDF">
        <w:t xml:space="preserve">Tožnica je uveljavljala kršitev avtorske pravice na grafični podobi TETA FRIDA, kršitev besedne znamke TETA FRIDA ter dejanja nelojalne konkurence, ker je toženka v gospodarskem prometu uporabljala grafični podobi podobne znake za </w:t>
      </w:r>
      <w:r w:rsidRPr="00BD3DDF">
        <w:lastRenderedPageBreak/>
        <w:t>označevanje enakega/podobnega blaga</w:t>
      </w:r>
      <w:r w:rsidR="00975C0F" w:rsidRPr="00BD3DDF">
        <w:t>.</w:t>
      </w:r>
      <w:r w:rsidRPr="00BD3DDF">
        <w:t xml:space="preserve"> Toženka je imetnica blagovne znamke EU, ki predstavlja kombinacijo besedne zveze "</w:t>
      </w:r>
      <w:proofErr w:type="spellStart"/>
      <w:r w:rsidRPr="00BD3DDF">
        <w:t>Tante</w:t>
      </w:r>
      <w:proofErr w:type="spellEnd"/>
      <w:r w:rsidRPr="00BD3DDF">
        <w:t xml:space="preserve"> </w:t>
      </w:r>
      <w:proofErr w:type="spellStart"/>
      <w:r w:rsidRPr="00BD3DDF">
        <w:t>Mitzi's</w:t>
      </w:r>
      <w:proofErr w:type="spellEnd"/>
      <w:r w:rsidRPr="00BD3DDF">
        <w:t>" in sporne grafične podobe.</w:t>
      </w:r>
    </w:p>
    <w:p w:rsidR="00EC5796" w:rsidRPr="00BD3DDF" w:rsidRDefault="00EC5796" w:rsidP="00EC5796">
      <w:r w:rsidRPr="00BD3DDF">
        <w:rPr>
          <w:noProof/>
          <w:lang w:eastAsia="sl-SI"/>
        </w:rPr>
        <w:drawing>
          <wp:inline distT="0" distB="0" distL="0" distR="0" wp14:anchorId="3D28FC89" wp14:editId="180FA819">
            <wp:extent cx="1379917" cy="1429966"/>
            <wp:effectExtent l="0" t="0" r="4445" b="5715"/>
            <wp:docPr id="7" name="Picture 6" descr="A cartoon of a person holding a broom&#10;&#10;AI-generated content may be incorrect.">
              <a:extLst xmlns:a="http://schemas.openxmlformats.org/drawingml/2006/main">
                <a:ext uri="{FF2B5EF4-FFF2-40B4-BE49-F238E27FC236}">
                  <a16:creationId xmlns:a16="http://schemas.microsoft.com/office/drawing/2014/main" id="{1F0DC394-22A9-423E-B713-11EB9121B1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artoon of a person holding a broom&#10;&#10;AI-generated content may be incorrect.">
                      <a:extLst>
                        <a:ext uri="{FF2B5EF4-FFF2-40B4-BE49-F238E27FC236}">
                          <a16:creationId xmlns:a16="http://schemas.microsoft.com/office/drawing/2014/main" id="{1F0DC394-22A9-423E-B713-11EB9121B183}"/>
                        </a:ext>
                      </a:extLst>
                    </pic:cNvPr>
                    <pic:cNvPicPr>
                      <a:picLocks noChangeAspect="1"/>
                    </pic:cNvPicPr>
                  </pic:nvPicPr>
                  <pic:blipFill>
                    <a:blip r:embed="rId22"/>
                    <a:stretch>
                      <a:fillRect/>
                    </a:stretch>
                  </pic:blipFill>
                  <pic:spPr>
                    <a:xfrm>
                      <a:off x="0" y="0"/>
                      <a:ext cx="1407517" cy="1458567"/>
                    </a:xfrm>
                    <a:prstGeom prst="rect">
                      <a:avLst/>
                    </a:prstGeom>
                  </pic:spPr>
                </pic:pic>
              </a:graphicData>
            </a:graphic>
          </wp:inline>
        </w:drawing>
      </w:r>
    </w:p>
    <w:p w:rsidR="00EC5796" w:rsidRPr="00BD3DDF" w:rsidRDefault="00EC5796" w:rsidP="00EC5796">
      <w:pPr>
        <w:rPr>
          <w:sz w:val="20"/>
        </w:rPr>
      </w:pPr>
      <w:r w:rsidRPr="00BD3DDF">
        <w:rPr>
          <w:sz w:val="20"/>
        </w:rPr>
        <w:t xml:space="preserve">Slika </w:t>
      </w:r>
      <w:r w:rsidR="00533D81" w:rsidRPr="00BD3DDF">
        <w:rPr>
          <w:sz w:val="20"/>
        </w:rPr>
        <w:t>5</w:t>
      </w:r>
      <w:r w:rsidRPr="00BD3DDF">
        <w:rPr>
          <w:sz w:val="20"/>
        </w:rPr>
        <w:t xml:space="preserve">: </w:t>
      </w:r>
      <w:r w:rsidR="00855176" w:rsidRPr="00BD3DDF">
        <w:rPr>
          <w:sz w:val="20"/>
        </w:rPr>
        <w:t>t</w:t>
      </w:r>
      <w:r w:rsidRPr="00BD3DDF">
        <w:rPr>
          <w:sz w:val="20"/>
        </w:rPr>
        <w:t>ožničina grafična podoba.</w:t>
      </w:r>
    </w:p>
    <w:p w:rsidR="00EC5796" w:rsidRPr="00BD3DDF" w:rsidRDefault="00EC5796" w:rsidP="00EC5796">
      <w:pPr>
        <w:rPr>
          <w:sz w:val="20"/>
        </w:rPr>
      </w:pPr>
    </w:p>
    <w:p w:rsidR="00EC5796" w:rsidRPr="00BD3DDF" w:rsidRDefault="00EC5796" w:rsidP="00EC5796">
      <w:r w:rsidRPr="00BD3DDF">
        <w:rPr>
          <w:noProof/>
          <w:lang w:eastAsia="sl-SI"/>
        </w:rPr>
        <w:drawing>
          <wp:inline distT="0" distB="0" distL="0" distR="0" wp14:anchorId="5E94AE06" wp14:editId="30DF8CBB">
            <wp:extent cx="1400783" cy="1556426"/>
            <wp:effectExtent l="0" t="0" r="0" b="5715"/>
            <wp:docPr id="1446849770" name="Picture 4" descr="Znak tožene stranke">
              <a:extLst xmlns:a="http://schemas.openxmlformats.org/drawingml/2006/main">
                <a:ext uri="{FF2B5EF4-FFF2-40B4-BE49-F238E27FC236}">
                  <a16:creationId xmlns:a16="http://schemas.microsoft.com/office/drawing/2014/main" id="{157B8472-ED03-6266-290B-A50A0103F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Znak tožene stranke">
                      <a:extLst>
                        <a:ext uri="{FF2B5EF4-FFF2-40B4-BE49-F238E27FC236}">
                          <a16:creationId xmlns:a16="http://schemas.microsoft.com/office/drawing/2014/main" id="{157B8472-ED03-6266-290B-A50A0103F0EC}"/>
                        </a:ext>
                      </a:extLst>
                    </pic:cNvPr>
                    <pic:cNvPicPr>
                      <a:picLocks noChangeAspect="1"/>
                    </pic:cNvPicPr>
                  </pic:nvPicPr>
                  <pic:blipFill>
                    <a:blip r:embed="rId23"/>
                    <a:stretch>
                      <a:fillRect/>
                    </a:stretch>
                  </pic:blipFill>
                  <pic:spPr>
                    <a:xfrm>
                      <a:off x="0" y="0"/>
                      <a:ext cx="1406972" cy="1563302"/>
                    </a:xfrm>
                    <a:prstGeom prst="rect">
                      <a:avLst/>
                    </a:prstGeom>
                  </pic:spPr>
                </pic:pic>
              </a:graphicData>
            </a:graphic>
          </wp:inline>
        </w:drawing>
      </w:r>
    </w:p>
    <w:p w:rsidR="00EC5796" w:rsidRPr="00BD3DDF" w:rsidRDefault="00EC5796" w:rsidP="00EC5796">
      <w:pPr>
        <w:rPr>
          <w:sz w:val="20"/>
        </w:rPr>
      </w:pPr>
      <w:r w:rsidRPr="00BD3DDF">
        <w:rPr>
          <w:sz w:val="20"/>
        </w:rPr>
        <w:t xml:space="preserve">Slika </w:t>
      </w:r>
      <w:r w:rsidR="00533D81" w:rsidRPr="00BD3DDF">
        <w:rPr>
          <w:sz w:val="20"/>
        </w:rPr>
        <w:t>6</w:t>
      </w:r>
      <w:r w:rsidRPr="00BD3DDF">
        <w:rPr>
          <w:sz w:val="20"/>
        </w:rPr>
        <w:t xml:space="preserve">: </w:t>
      </w:r>
      <w:r w:rsidR="00855176" w:rsidRPr="00BD3DDF">
        <w:rPr>
          <w:sz w:val="20"/>
        </w:rPr>
        <w:t>t</w:t>
      </w:r>
      <w:r w:rsidRPr="00BD3DDF">
        <w:rPr>
          <w:sz w:val="20"/>
        </w:rPr>
        <w:t>oženkina grafična podoba.</w:t>
      </w:r>
    </w:p>
    <w:p w:rsidR="002D074C" w:rsidRPr="00BD3DDF" w:rsidRDefault="002D074C" w:rsidP="00EC5796">
      <w:pPr>
        <w:rPr>
          <w:sz w:val="20"/>
        </w:rPr>
      </w:pPr>
    </w:p>
    <w:p w:rsidR="00EC5796" w:rsidRPr="00BD3DDF" w:rsidRDefault="002B3667" w:rsidP="002B3667">
      <w:pPr>
        <w:rPr>
          <w:b/>
          <w:bCs/>
        </w:rPr>
      </w:pPr>
      <w:r w:rsidRPr="00BD3DDF">
        <w:rPr>
          <w:b/>
          <w:bCs/>
        </w:rPr>
        <w:t>Odločitev sodišč:</w:t>
      </w:r>
    </w:p>
    <w:p w:rsidR="002B3667" w:rsidRPr="00BD3DDF" w:rsidRDefault="002B3667" w:rsidP="002B3667">
      <w:pPr>
        <w:ind w:left="720"/>
      </w:pPr>
      <w:r w:rsidRPr="00BD3DDF">
        <w:t>Sodišče prve stopnje je tožbeni zahtevek zavrnilo. Ob celoviti presoji tožničine in toženkine grafične podobe je ugotovilo, da podobnost ni tolikšna, da bi bilo mogoče zaključiti, da gre pri sporni grafični podobi za predelavo avtorskega dela – tožničine grafične podobe. V zvezi s kršitvijo znamke je sodišče ugotovilo, da toženka sporne grafične podobe v gospodarskem prometu ne uporablja samostojno, ampak v kombinaciji z besednima zvezama "Stari rogljiček" ali "</w:t>
      </w:r>
      <w:proofErr w:type="spellStart"/>
      <w:r w:rsidRPr="00BD3DDF">
        <w:t>Tante</w:t>
      </w:r>
      <w:proofErr w:type="spellEnd"/>
      <w:r w:rsidRPr="00BD3DDF">
        <w:t xml:space="preserve"> </w:t>
      </w:r>
      <w:proofErr w:type="spellStart"/>
      <w:r w:rsidRPr="00BD3DDF">
        <w:t>Mitzi's</w:t>
      </w:r>
      <w:proofErr w:type="spellEnd"/>
      <w:r w:rsidRPr="00BD3DDF">
        <w:t>." Ker toženka ne posnema tožničine grafične podobe, tudi ne posnema njene tržne identitete.</w:t>
      </w:r>
    </w:p>
    <w:p w:rsidR="00EC5796" w:rsidRPr="00BD3DDF" w:rsidRDefault="002B3667" w:rsidP="002B3667">
      <w:pPr>
        <w:ind w:left="720"/>
      </w:pPr>
      <w:r w:rsidRPr="00BD3DDF">
        <w:t xml:space="preserve">Pritožbeno sodišče je izpodbijano sodbo spremenilo tako, da je tožbenemu zahtevku ugodilo. Presodilo je, da je v sporni grafični podobi stopnja intenzivnosti </w:t>
      </w:r>
      <w:r w:rsidRPr="00BD3DDF">
        <w:lastRenderedPageBreak/>
        <w:t>posnemanja takšna, da je v njej zaznavno že obstoječe delo. Bistveni elementi so v obeh podobah oblikovani identično: cel obraz je prikazan frontalno, obe imata očala, pričeski sta si podobni, lase imata spete v bujno pričesko, zataknjeno kuhalnico, enak prifrknjen nos, enak nasmeh, ki je obrnjen v desno stran obraza, jamica v istem licu, enaka oblika brade, enaki okrogli uhani. Toženka je kršila avtorsko pravico tožnikov do predelave po 7. členu ZASP. Celoten vtis sporne grafične podobe, ki ga je sodišče prve stopnje upoštevalo skupaj z besednima zvezama "Stari rogljiček" in "</w:t>
      </w:r>
      <w:proofErr w:type="spellStart"/>
      <w:r w:rsidRPr="00BD3DDF">
        <w:t>Tante</w:t>
      </w:r>
      <w:proofErr w:type="spellEnd"/>
      <w:r w:rsidRPr="00BD3DDF">
        <w:t xml:space="preserve"> </w:t>
      </w:r>
      <w:proofErr w:type="spellStart"/>
      <w:r w:rsidRPr="00BD3DDF">
        <w:t>Mizis</w:t>
      </w:r>
      <w:proofErr w:type="spellEnd"/>
      <w:r w:rsidRPr="00BD3DDF">
        <w:t>," na drugačno odločitev ne more vplivati. Ker gre za slaščice, ima beseda "Stari rogljiček" šibak razlikovalni učinek, sporna grafična podoba je tista, ki je gledano celovito bolj razlikovalna. Zato z dodano besedo "Stari rogljiček" ni mogoče izničiti verjetnosti zmede v javnosti. Enako velja za besedni del "</w:t>
      </w:r>
      <w:proofErr w:type="spellStart"/>
      <w:r w:rsidRPr="00BD3DDF">
        <w:t>Tante</w:t>
      </w:r>
      <w:proofErr w:type="spellEnd"/>
      <w:r w:rsidRPr="00BD3DDF">
        <w:t xml:space="preserve"> </w:t>
      </w:r>
      <w:proofErr w:type="spellStart"/>
      <w:r w:rsidRPr="00BD3DDF">
        <w:t>Mizis</w:t>
      </w:r>
      <w:proofErr w:type="spellEnd"/>
      <w:r w:rsidRPr="00BD3DDF">
        <w:t>". Zato je izpolnjen abstraktni dejanski stan iz točke b prvega odstavka 47. člena ZIL-1. Tožbeni zahtevek je po presoji Višjega sodišča utemeljen tudi na podlagi dejanj nelojalne konkurence, saj sta tožnika dokazala, da je zmeda glede izvora blaga že dejansko nastala. Upoštevaje elektronska sporočila so bili potrošniki dejansko zmedeni glede izvora blaga, predvsem so nad izdelki</w:t>
      </w:r>
      <w:r w:rsidR="00011116" w:rsidRPr="00BD3DDF">
        <w:t>, ki so jih zmotno šteli za</w:t>
      </w:r>
      <w:r w:rsidRPr="00BD3DDF">
        <w:t xml:space="preserve"> tožni</w:t>
      </w:r>
      <w:r w:rsidR="00011116" w:rsidRPr="00BD3DDF">
        <w:t>čine,</w:t>
      </w:r>
      <w:r w:rsidRPr="00BD3DDF">
        <w:t xml:space="preserve"> izrazili razočaranje.</w:t>
      </w:r>
    </w:p>
    <w:p w:rsidR="00011116" w:rsidRPr="00BD3DDF" w:rsidRDefault="00011116" w:rsidP="00011116">
      <w:pPr>
        <w:rPr>
          <w:b/>
          <w:bCs/>
        </w:rPr>
      </w:pPr>
      <w:r w:rsidRPr="00BD3DDF">
        <w:rPr>
          <w:b/>
          <w:bCs/>
        </w:rPr>
        <w:t>Komentar:</w:t>
      </w:r>
    </w:p>
    <w:p w:rsidR="002B3667" w:rsidRPr="00BD3DDF" w:rsidRDefault="00011116" w:rsidP="00095D5F">
      <w:pPr>
        <w:ind w:left="720"/>
      </w:pPr>
      <w:r w:rsidRPr="00BD3DDF">
        <w:t>Sodišče se je v zvezi s prepovednimi zahtevki imetnika pravic ukvarjalo kar s tremi podlagami in sicer kršitvijo avtorske pravice, znamke in dejanji nelojalne konkurence. Višje sodišče je presodilo, da je zahtevek utemeljen po vseh treh podlagah. Pri tem je grafični podobi pripisalo večji pomen kot pa spremljajočim besednim zvezam.</w:t>
      </w:r>
    </w:p>
    <w:p w:rsidR="00790C1F" w:rsidRPr="00BD3DDF" w:rsidRDefault="00790C1F" w:rsidP="00095D5F">
      <w:pPr>
        <w:ind w:left="720"/>
      </w:pPr>
    </w:p>
    <w:p w:rsidR="002B3667" w:rsidRPr="00BD3DDF" w:rsidRDefault="0087742E" w:rsidP="0087742E">
      <w:pPr>
        <w:pStyle w:val="Naslov4"/>
      </w:pPr>
      <w:bookmarkStart w:id="39" w:name="_Toc227678359"/>
      <w:bookmarkStart w:id="40" w:name="_Hlk227552073"/>
      <w:r w:rsidRPr="00BD3DDF">
        <w:t>VSL Sodba V Cpg 481/2024 z dne 14. maja 2025</w:t>
      </w:r>
      <w:bookmarkEnd w:id="39"/>
    </w:p>
    <w:bookmarkEnd w:id="40"/>
    <w:p w:rsidR="0087742E" w:rsidRPr="00BD3DDF" w:rsidRDefault="0087742E" w:rsidP="0087742E">
      <w:r w:rsidRPr="00BD3DDF">
        <w:rPr>
          <w:b/>
          <w:bCs/>
        </w:rPr>
        <w:t>Nacionalno pravo:</w:t>
      </w:r>
      <w:r w:rsidRPr="00BD3DDF">
        <w:t xml:space="preserve"> </w:t>
      </w:r>
    </w:p>
    <w:p w:rsidR="0087742E" w:rsidRPr="00BD3DDF" w:rsidRDefault="0087742E" w:rsidP="0087742E">
      <w:pPr>
        <w:ind w:left="720"/>
      </w:pPr>
      <w:r w:rsidRPr="00BD3DDF">
        <w:t>ZIL-1E je je spremenil prvi odstavek 120. člena ZIL-1 tako, da</w:t>
      </w:r>
      <w:r w:rsidR="007452A6" w:rsidRPr="00BD3DDF">
        <w:t xml:space="preserve"> </w:t>
      </w:r>
      <w:r w:rsidRPr="00BD3DDF">
        <w:t xml:space="preserve">lahko kdorkoli s tožbo pri pristojnem sodišču zahteva razveljavitev znamke, če imetnik brez upravičenega razloga v neprekinjenem obdobju petih let ni v skladu z 52.b členom ZIL-1 resno in </w:t>
      </w:r>
      <w:r w:rsidRPr="00BD3DDF">
        <w:lastRenderedPageBreak/>
        <w:t>dejansko uporabljal v Republiki Sloveniji znamke za označevanje blaga ali storitev, za katere je znamka registrirana. V postopku razveljavitve znamke imetnik dokazuje uporabo znamke. Znamka se razveljavi za tisto blago ali storitve, za katere se ugotovi, da znamka ni bila uporabljena na območju Republike Slovenije, in sicer z dnem pravnomočnosti sodbe.</w:t>
      </w:r>
    </w:p>
    <w:p w:rsidR="0087742E" w:rsidRPr="00BD3DDF" w:rsidRDefault="0087742E" w:rsidP="0087742E">
      <w:pPr>
        <w:rPr>
          <w:b/>
          <w:bCs/>
        </w:rPr>
      </w:pPr>
      <w:r w:rsidRPr="00BD3DDF">
        <w:rPr>
          <w:b/>
          <w:bCs/>
        </w:rPr>
        <w:t>Pravo EU:</w:t>
      </w:r>
    </w:p>
    <w:p w:rsidR="0087742E" w:rsidRPr="00BD3DDF" w:rsidRDefault="0087742E" w:rsidP="0087742E">
      <w:pPr>
        <w:ind w:left="720"/>
      </w:pPr>
      <w:r w:rsidRPr="00BD3DDF">
        <w:t>Direktiva 2015/2436 v prvem odstavku 19. člena določa, da se blagovna znamka lahko razveljavi, če se v neprekinjenem petletnem obdobju ni resno in dejansko uporabljala v državi članici v zvezi z blagom ali storitvami, za katere je registrirana, in za neuporabo ne obstajajo upravičeni razlogi. Če razlogi za razveljavitev blagovne znamke obstajajo le za nekatero blago ali storitve, za katere je navedena blagovna znamka registrirana, razveljavitev obsega le tisto blago ali storitve (člen 21).</w:t>
      </w:r>
    </w:p>
    <w:p w:rsidR="0087742E" w:rsidRPr="00BD3DDF" w:rsidRDefault="0087742E" w:rsidP="0087742E">
      <w:pPr>
        <w:rPr>
          <w:b/>
          <w:bCs/>
        </w:rPr>
      </w:pPr>
      <w:r w:rsidRPr="00BD3DDF">
        <w:rPr>
          <w:b/>
          <w:bCs/>
        </w:rPr>
        <w:t>Dejansko stanje:</w:t>
      </w:r>
    </w:p>
    <w:p w:rsidR="0087742E" w:rsidRPr="00BD3DDF" w:rsidRDefault="0087742E" w:rsidP="0087742E">
      <w:pPr>
        <w:ind w:left="720"/>
      </w:pPr>
      <w:r w:rsidRPr="00BD3DDF">
        <w:t>Tožnica je s tožbo zahtevala</w:t>
      </w:r>
      <w:r w:rsidR="007452A6" w:rsidRPr="00BD3DDF">
        <w:t xml:space="preserve"> </w:t>
      </w:r>
      <w:r w:rsidRPr="00BD3DDF">
        <w:t>razveljavitev treh mednarodnih znamk toženke, registriranih pri Svetovni organizaciji za intelektualno lastnino (WIPO), in sicer dveh besednih znamk TESLA in ene figurativne znamke z napisom TESLA, zaradi njihove neuporabe v Republiki Sloveniji.</w:t>
      </w:r>
    </w:p>
    <w:p w:rsidR="002A1F59" w:rsidRPr="00BD3DDF" w:rsidRDefault="002A1F59" w:rsidP="0087742E">
      <w:pPr>
        <w:ind w:left="720"/>
      </w:pPr>
      <w:r w:rsidRPr="00BD3DDF">
        <w:rPr>
          <w:noProof/>
          <w:lang w:eastAsia="sl-SI"/>
        </w:rPr>
        <w:drawing>
          <wp:inline distT="0" distB="0" distL="0" distR="0" wp14:anchorId="055404FB" wp14:editId="20F1294E">
            <wp:extent cx="2006936" cy="2159540"/>
            <wp:effectExtent l="0" t="0" r="0" b="0"/>
            <wp:docPr id="1496183714" name="Content Placeholder 4" descr="A black and white logo&#10;&#10;AI-generated content may be incorrect.">
              <a:extLst xmlns:a="http://schemas.openxmlformats.org/drawingml/2006/main">
                <a:ext uri="{FF2B5EF4-FFF2-40B4-BE49-F238E27FC236}">
                  <a16:creationId xmlns:a16="http://schemas.microsoft.com/office/drawing/2014/main" id="{6C789465-CD1E-3BE5-B6E8-DD168712FE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black and white logo&#10;&#10;AI-generated content may be incorrect.">
                      <a:extLst>
                        <a:ext uri="{FF2B5EF4-FFF2-40B4-BE49-F238E27FC236}">
                          <a16:creationId xmlns:a16="http://schemas.microsoft.com/office/drawing/2014/main" id="{6C789465-CD1E-3BE5-B6E8-DD168712FE65}"/>
                        </a:ext>
                      </a:extLst>
                    </pic:cNvPr>
                    <pic:cNvPicPr>
                      <a:picLocks noChangeAspect="1"/>
                    </pic:cNvPicPr>
                  </pic:nvPicPr>
                  <pic:blipFill>
                    <a:blip r:embed="rId24"/>
                    <a:srcRect l="3159" r="3908"/>
                    <a:stretch>
                      <a:fillRect/>
                    </a:stretch>
                  </pic:blipFill>
                  <pic:spPr>
                    <a:xfrm>
                      <a:off x="0" y="0"/>
                      <a:ext cx="2010953" cy="2163862"/>
                    </a:xfrm>
                    <a:prstGeom prst="rect">
                      <a:avLst/>
                    </a:prstGeom>
                  </pic:spPr>
                </pic:pic>
              </a:graphicData>
            </a:graphic>
          </wp:inline>
        </w:drawing>
      </w:r>
    </w:p>
    <w:p w:rsidR="00B27A4E" w:rsidRPr="00BD3DDF" w:rsidRDefault="002A1F59" w:rsidP="00880A39">
      <w:pPr>
        <w:ind w:left="720"/>
        <w:rPr>
          <w:sz w:val="20"/>
        </w:rPr>
      </w:pPr>
      <w:r w:rsidRPr="00BD3DDF">
        <w:rPr>
          <w:sz w:val="20"/>
        </w:rPr>
        <w:t xml:space="preserve">Slika </w:t>
      </w:r>
      <w:r w:rsidR="00533D81" w:rsidRPr="00BD3DDF">
        <w:rPr>
          <w:sz w:val="20"/>
        </w:rPr>
        <w:t>7</w:t>
      </w:r>
      <w:r w:rsidRPr="00BD3DDF">
        <w:rPr>
          <w:sz w:val="20"/>
        </w:rPr>
        <w:t>: figurativna znamka tožene stranke</w:t>
      </w:r>
      <w:r w:rsidR="00533D81" w:rsidRPr="00BD3DDF">
        <w:rPr>
          <w:sz w:val="20"/>
        </w:rPr>
        <w:t>.</w:t>
      </w:r>
    </w:p>
    <w:p w:rsidR="00EE107E" w:rsidRDefault="00EE107E" w:rsidP="00B27A4E">
      <w:pPr>
        <w:rPr>
          <w:b/>
          <w:bCs/>
        </w:rPr>
      </w:pPr>
    </w:p>
    <w:p w:rsidR="00EE107E" w:rsidRDefault="00EE107E" w:rsidP="00B27A4E">
      <w:pPr>
        <w:rPr>
          <w:b/>
          <w:bCs/>
        </w:rPr>
      </w:pPr>
    </w:p>
    <w:p w:rsidR="00B27A4E" w:rsidRPr="00BD3DDF" w:rsidRDefault="00B27A4E" w:rsidP="00B27A4E">
      <w:pPr>
        <w:rPr>
          <w:b/>
          <w:bCs/>
        </w:rPr>
      </w:pPr>
      <w:r w:rsidRPr="00BD3DDF">
        <w:rPr>
          <w:b/>
          <w:bCs/>
        </w:rPr>
        <w:lastRenderedPageBreak/>
        <w:t>Odločitev sodišč:</w:t>
      </w:r>
    </w:p>
    <w:p w:rsidR="00B27A4E" w:rsidRPr="00BD3DDF" w:rsidRDefault="00B27A4E" w:rsidP="00B27A4E">
      <w:pPr>
        <w:ind w:left="720"/>
      </w:pPr>
      <w:r w:rsidRPr="00BD3DDF">
        <w:t xml:space="preserve">Sodišče prve stopnje je delno razveljavilo znamke glede blaga, za katerega toženka ni dokazala resne in dejanske uporabe posamezne znamke v času petih let pred vložitvijo tožbe. </w:t>
      </w:r>
    </w:p>
    <w:p w:rsidR="00B27A4E" w:rsidRPr="00BD3DDF" w:rsidRDefault="00B27A4E" w:rsidP="00B27A4E">
      <w:pPr>
        <w:ind w:left="720"/>
      </w:pPr>
      <w:r w:rsidRPr="00BD3DDF">
        <w:t>Pritožbeno sodišče je prvostopenjsko sodbo delno spremenilo tako, da je znamko razveljavilo za drugačen obseg blaga kot sodišče prve stopnje. Pojasnilo je, da tudi minimalna uporaba zadostuje za ugotovitev obstoja resne in dejanske uporabe, če se blagovna znamka uporablja za dejanski komercialni namen. Resno in dejansko trženje izdelkov z uporabo izpodbijanih znamk, preko katalogov in v spletni trgovini, izkazuje uporabo znamk.</w:t>
      </w:r>
    </w:p>
    <w:p w:rsidR="00880A39" w:rsidRPr="00BD3DDF" w:rsidRDefault="00B27A4E" w:rsidP="00880A39">
      <w:pPr>
        <w:ind w:left="720"/>
      </w:pPr>
      <w:r w:rsidRPr="00BD3DDF">
        <w:t xml:space="preserve">Višje sodišče je tudi poudarilo, da je razlaga izrazov iz razredov </w:t>
      </w:r>
      <w:proofErr w:type="spellStart"/>
      <w:r w:rsidRPr="00BD3DDF">
        <w:t>Nicejske</w:t>
      </w:r>
      <w:proofErr w:type="spellEnd"/>
      <w:r w:rsidRPr="00BD3DDF">
        <w:t xml:space="preserve"> klasifikacije pravno vprašanje. Enako velja za vprašanje, ali uporaba znamke za posamezen izdelek pokriva celoten razred (kategorijo), ali pa obstajajo neodvisne ožje kategorije in zato uporaba znamke za določen izdelek zagotavlja zaščito samo za ožjo kategorijo (podkategorijo). Splošno merilo za opredelitev skladne podkategorije blaga ali storitev, ki jih je mogoče obravnavati neodvisno, je merilo namena uporabe blaga oziroma storitve. Dokaz o uporabi znamke za označevanje sestavnega dela še ne dokazuje uporabe znamke za končni proizvod. Zgolj dejstvo, da je nek proizvod morda sestavljen iz več delov, ne zadostuje za samodejno ugotovitev podobnosti med končnim proizvodom in njegovimi sestavnimi deli. Tako potrošnik proizvodov, ki za svoje delovanje sicer potrebujejo baterije, ne povezuje z znakom, pod katerim se trži</w:t>
      </w:r>
      <w:r w:rsidR="00C51D9D" w:rsidRPr="00BD3DDF">
        <w:t>jo</w:t>
      </w:r>
      <w:r w:rsidRPr="00BD3DDF">
        <w:t xml:space="preserve"> baterij</w:t>
      </w:r>
      <w:r w:rsidR="00C51D9D" w:rsidRPr="00BD3DDF">
        <w:t>e</w:t>
      </w:r>
      <w:r w:rsidRPr="00BD3DDF">
        <w:t>.</w:t>
      </w:r>
    </w:p>
    <w:p w:rsidR="003469C7" w:rsidRPr="00BD3DDF" w:rsidRDefault="003469C7" w:rsidP="003469C7">
      <w:pPr>
        <w:rPr>
          <w:b/>
          <w:bCs/>
        </w:rPr>
      </w:pPr>
      <w:r w:rsidRPr="00BD3DDF">
        <w:rPr>
          <w:b/>
          <w:bCs/>
        </w:rPr>
        <w:t xml:space="preserve">Komentar: </w:t>
      </w:r>
    </w:p>
    <w:p w:rsidR="003469C7" w:rsidRPr="00BD3DDF" w:rsidRDefault="003469C7" w:rsidP="00B27A4E">
      <w:pPr>
        <w:ind w:left="720"/>
      </w:pPr>
      <w:r w:rsidRPr="00BD3DDF">
        <w:t xml:space="preserve">Sodišče je dosledno upoštevalo stališča SEU ter smernice EUIPO in poudarilo, da je razlaga izrazov iz razredov </w:t>
      </w:r>
      <w:proofErr w:type="spellStart"/>
      <w:r w:rsidRPr="00BD3DDF">
        <w:t>Nicejske</w:t>
      </w:r>
      <w:proofErr w:type="spellEnd"/>
      <w:r w:rsidRPr="00BD3DDF">
        <w:t xml:space="preserve"> klasifikacije</w:t>
      </w:r>
      <w:r w:rsidR="007452A6" w:rsidRPr="00BD3DDF">
        <w:t xml:space="preserve"> </w:t>
      </w:r>
      <w:r w:rsidRPr="00BD3DDF">
        <w:t>pravno vprašanje. To vključuje presojo, ali uporaba znamke za posamezen izdelek pokriva celoten razred (kategorijo) izdelkov ali pa so mogoče neodvisne ožje kategorije in zato uporaba znamke za določen izdelek zagotavlja zaščito samo ožjo kategorijo (podkategorijo).</w:t>
      </w:r>
    </w:p>
    <w:p w:rsidR="006D0D12" w:rsidRPr="00BD3DDF" w:rsidRDefault="006D0D12" w:rsidP="00B27A4E">
      <w:pPr>
        <w:ind w:left="720"/>
      </w:pPr>
    </w:p>
    <w:p w:rsidR="00D76D1F" w:rsidRPr="00BD3DDF" w:rsidRDefault="008C185A" w:rsidP="008C185A">
      <w:pPr>
        <w:pStyle w:val="Naslov3"/>
      </w:pPr>
      <w:bookmarkStart w:id="41" w:name="_Toc227678360"/>
      <w:r w:rsidRPr="00BD3DDF">
        <w:lastRenderedPageBreak/>
        <w:t>Patent</w:t>
      </w:r>
      <w:bookmarkEnd w:id="41"/>
    </w:p>
    <w:p w:rsidR="008C185A" w:rsidRPr="00BD3DDF" w:rsidRDefault="008C185A" w:rsidP="00CB0973">
      <w:pPr>
        <w:pStyle w:val="Naslov4"/>
      </w:pPr>
      <w:bookmarkStart w:id="42" w:name="_Toc227678361"/>
      <w:bookmarkStart w:id="43" w:name="_Hlk227552269"/>
      <w:r w:rsidRPr="00BD3DDF">
        <w:t>VSL Sodba V Cpg 209/2024 z dne 17. decembra 2025</w:t>
      </w:r>
      <w:bookmarkEnd w:id="42"/>
    </w:p>
    <w:bookmarkEnd w:id="43"/>
    <w:p w:rsidR="008C185A" w:rsidRPr="00BD3DDF" w:rsidRDefault="008C185A" w:rsidP="008C185A">
      <w:pPr>
        <w:rPr>
          <w:b/>
          <w:bCs/>
          <w:szCs w:val="24"/>
        </w:rPr>
      </w:pPr>
      <w:r w:rsidRPr="00BD3DDF">
        <w:rPr>
          <w:b/>
          <w:bCs/>
          <w:szCs w:val="24"/>
        </w:rPr>
        <w:t>Nacionalno pravo:</w:t>
      </w:r>
    </w:p>
    <w:p w:rsidR="008C185A" w:rsidRPr="00BD3DDF" w:rsidRDefault="008C185A" w:rsidP="008C185A">
      <w:pPr>
        <w:ind w:left="720"/>
        <w:rPr>
          <w:szCs w:val="24"/>
        </w:rPr>
      </w:pPr>
      <w:r w:rsidRPr="00BD3DDF">
        <w:rPr>
          <w:szCs w:val="24"/>
        </w:rPr>
        <w:t>Vsaka zainteresirana oseba lahko na podlagi</w:t>
      </w:r>
      <w:r w:rsidR="007452A6" w:rsidRPr="00BD3DDF">
        <w:rPr>
          <w:szCs w:val="24"/>
        </w:rPr>
        <w:t xml:space="preserve"> </w:t>
      </w:r>
      <w:r w:rsidRPr="00BD3DDF">
        <w:rPr>
          <w:szCs w:val="24"/>
        </w:rPr>
        <w:t xml:space="preserve">111. člena v zvezi s prvim odstavkom 112. člena ZIL-1 vloži tožbo za ugotovitev ničnosti patenta, ker izum ob datumu vložitve prijave ni izpolnjeval vseh zahtev, ki jih določa zakon. Pogoja za </w:t>
      </w:r>
      <w:proofErr w:type="spellStart"/>
      <w:r w:rsidRPr="00BD3DDF">
        <w:rPr>
          <w:szCs w:val="24"/>
        </w:rPr>
        <w:t>patent</w:t>
      </w:r>
      <w:r w:rsidR="004D3375" w:rsidRPr="00BD3DDF">
        <w:rPr>
          <w:szCs w:val="24"/>
        </w:rPr>
        <w:t>a</w:t>
      </w:r>
      <w:r w:rsidRPr="00BD3DDF">
        <w:rPr>
          <w:szCs w:val="24"/>
        </w:rPr>
        <w:t>bilnost</w:t>
      </w:r>
      <w:proofErr w:type="spellEnd"/>
      <w:r w:rsidRPr="00BD3DDF">
        <w:rPr>
          <w:szCs w:val="24"/>
        </w:rPr>
        <w:t xml:space="preserve"> vsakega izuma sta njegovi novost in inventivna raven (prvi odstavek 10. člena ZIL-1). Skladno s prvim in drugim odstavkom 12. člena ZIL-1 je izum nov, če ni obsežen s stanjem tehnike, h kateremu spada vse, kar je bilo pred vložitvijo patentne prijave kakorkoli dostopno javnosti. Skladno s prvim odstavkom 14. člena ZIL-1 se šteje, da je izum na inventivni ravni, če za strokovnjaka predmet izuma očitno ne izhaja iz stanja tehnike po drugem odstavku 12. člena ZIL-1. </w:t>
      </w:r>
      <w:r w:rsidR="00880A39" w:rsidRPr="00BD3DDF">
        <w:rPr>
          <w:szCs w:val="24"/>
        </w:rPr>
        <w:t>O</w:t>
      </w:r>
      <w:r w:rsidRPr="00BD3DDF">
        <w:rPr>
          <w:szCs w:val="24"/>
        </w:rPr>
        <w:t>bseg patentnega varstva je določen z vsebino patentnih zahtevkov (četrti odstavek 18. člena ZIL-1).</w:t>
      </w:r>
    </w:p>
    <w:p w:rsidR="006B11FD" w:rsidRPr="00BD3DDF" w:rsidRDefault="006B11FD" w:rsidP="006B11FD">
      <w:pPr>
        <w:rPr>
          <w:b/>
          <w:bCs/>
          <w:szCs w:val="24"/>
        </w:rPr>
      </w:pPr>
      <w:r w:rsidRPr="00BD3DDF">
        <w:rPr>
          <w:b/>
          <w:bCs/>
          <w:szCs w:val="24"/>
        </w:rPr>
        <w:t>Mednarodno pravo:</w:t>
      </w:r>
    </w:p>
    <w:p w:rsidR="006B11FD" w:rsidRPr="00BD3DDF" w:rsidRDefault="006B11FD" w:rsidP="008C185A">
      <w:pPr>
        <w:ind w:left="720"/>
        <w:rPr>
          <w:szCs w:val="24"/>
        </w:rPr>
      </w:pPr>
      <w:r w:rsidRPr="00BD3DDF">
        <w:rPr>
          <w:szCs w:val="24"/>
        </w:rPr>
        <w:t xml:space="preserve">V zvezi s presojo ničnosti patenta se je sodišče primerjalno sklicevalo na določila Evropske patentne konvencije (EPK), ki jo je Republika Slovenija ratificirala z </w:t>
      </w:r>
      <w:bookmarkStart w:id="44" w:name="_Hlk227552354"/>
      <w:r w:rsidRPr="00BD3DDF">
        <w:rPr>
          <w:szCs w:val="24"/>
        </w:rPr>
        <w:t>Zakonom o ratifikaciji Konvencije o podeljevanju Evropskih patentov</w:t>
      </w:r>
      <w:r w:rsidR="00880A39" w:rsidRPr="00BD3DDF">
        <w:rPr>
          <w:szCs w:val="24"/>
        </w:rPr>
        <w:t>.</w:t>
      </w:r>
      <w:r w:rsidR="00880A39" w:rsidRPr="00BD3DDF">
        <w:rPr>
          <w:rStyle w:val="Sprotnaopomba-sklic"/>
          <w:szCs w:val="24"/>
        </w:rPr>
        <w:footnoteReference w:id="12"/>
      </w:r>
      <w:r w:rsidRPr="00BD3DDF">
        <w:rPr>
          <w:szCs w:val="24"/>
        </w:rPr>
        <w:t xml:space="preserve"> </w:t>
      </w:r>
      <w:bookmarkEnd w:id="44"/>
      <w:r w:rsidRPr="00BD3DDF">
        <w:rPr>
          <w:szCs w:val="24"/>
        </w:rPr>
        <w:t>Ta v 52. členu določa, da se evropski patenti podelijo za vse izume, ki so industrijsko uporabljivi, novi in na inventivni ravni. V 54. členu EPK je določeno: (1) Izum se šteje za novega, če ni del stanja tehnike, (2) Stanje tehnike obsega vse tisto, kar je bilo s pisnim ali ustnim opisom, z uporabo ali kako drugače dostopno javnosti pred datumom vložitve evropske patentne prijave. V 56. členu EPK</w:t>
      </w:r>
      <w:r w:rsidR="007452A6" w:rsidRPr="00BD3DDF">
        <w:rPr>
          <w:szCs w:val="24"/>
        </w:rPr>
        <w:t xml:space="preserve"> </w:t>
      </w:r>
      <w:r w:rsidRPr="00BD3DDF">
        <w:rPr>
          <w:szCs w:val="24"/>
        </w:rPr>
        <w:t xml:space="preserve">določa, da se šteje, da je izum na inventivni ravni, če za strokovnjaka očitno ne izhaja iz stanja tehnike. </w:t>
      </w:r>
      <w:r w:rsidR="003E32F0" w:rsidRPr="00BD3DDF">
        <w:rPr>
          <w:szCs w:val="24"/>
        </w:rPr>
        <w:t>Merila</w:t>
      </w:r>
      <w:r w:rsidRPr="00BD3DDF">
        <w:rPr>
          <w:szCs w:val="24"/>
        </w:rPr>
        <w:t xml:space="preserve"> za presojo novosti in inventivne ravni patenta so v ZIL</w:t>
      </w:r>
      <w:r w:rsidR="009520EF" w:rsidRPr="00BD3DDF">
        <w:rPr>
          <w:szCs w:val="24"/>
        </w:rPr>
        <w:t>-1</w:t>
      </w:r>
      <w:r w:rsidRPr="00BD3DDF">
        <w:rPr>
          <w:szCs w:val="24"/>
        </w:rPr>
        <w:t xml:space="preserve"> in EPK določen</w:t>
      </w:r>
      <w:r w:rsidR="003E32F0" w:rsidRPr="00BD3DDF">
        <w:rPr>
          <w:szCs w:val="24"/>
        </w:rPr>
        <w:t>a</w:t>
      </w:r>
      <w:r w:rsidRPr="00BD3DDF">
        <w:rPr>
          <w:szCs w:val="24"/>
        </w:rPr>
        <w:t xml:space="preserve"> smiselno enako.</w:t>
      </w:r>
    </w:p>
    <w:p w:rsidR="00EE107E" w:rsidRDefault="00EE107E" w:rsidP="008C185A">
      <w:pPr>
        <w:rPr>
          <w:b/>
          <w:bCs/>
          <w:szCs w:val="24"/>
        </w:rPr>
      </w:pPr>
    </w:p>
    <w:p w:rsidR="00D76D1F" w:rsidRPr="00BD3DDF" w:rsidRDefault="008C185A" w:rsidP="008C185A">
      <w:pPr>
        <w:rPr>
          <w:b/>
          <w:bCs/>
          <w:szCs w:val="24"/>
        </w:rPr>
      </w:pPr>
      <w:r w:rsidRPr="00BD3DDF">
        <w:rPr>
          <w:b/>
          <w:bCs/>
          <w:szCs w:val="24"/>
        </w:rPr>
        <w:lastRenderedPageBreak/>
        <w:t>Dejansko stanje:</w:t>
      </w:r>
    </w:p>
    <w:p w:rsidR="003E32F0" w:rsidRPr="00BD3DDF" w:rsidRDefault="008C185A" w:rsidP="00EE107E">
      <w:pPr>
        <w:ind w:left="720"/>
        <w:rPr>
          <w:szCs w:val="24"/>
        </w:rPr>
      </w:pPr>
      <w:r w:rsidRPr="00BD3DDF">
        <w:rPr>
          <w:szCs w:val="24"/>
        </w:rPr>
        <w:t>Tožnica je vložila tožbo za ugotovitev ničnosti nacionalnega patenta tožene stranke „Cepilnik drv</w:t>
      </w:r>
      <w:r w:rsidR="007452A6" w:rsidRPr="00BD3DDF">
        <w:rPr>
          <w:szCs w:val="24"/>
        </w:rPr>
        <w:t xml:space="preserve"> </w:t>
      </w:r>
      <w:r w:rsidRPr="00BD3DDF">
        <w:rPr>
          <w:szCs w:val="24"/>
        </w:rPr>
        <w:t>z optimizacijo cepilnega cikla“. Trdila je, da patent ob datumu vložitve prijave ni bil niti nov niti na inventivni ravni, saj so bile že pred datumom prijave patenta glede na znano stanje tehnike javnosti razkrite vse značilnosti patenta, za strokovnjaka pa je predmet izuma očitno izhajal iz znanega stanja tehnike. Izum tudi ni bil predstavljen dovolj jasno in popolno, da bi ga lahko uporabil strokovnjak s področja, na katerega se izum nanaša.</w:t>
      </w:r>
    </w:p>
    <w:p w:rsidR="00245F36" w:rsidRPr="00BD3DDF" w:rsidRDefault="00245F36" w:rsidP="00340AA4">
      <w:pPr>
        <w:rPr>
          <w:b/>
          <w:bCs/>
          <w:szCs w:val="24"/>
        </w:rPr>
      </w:pPr>
      <w:r w:rsidRPr="00BD3DDF">
        <w:rPr>
          <w:b/>
          <w:bCs/>
          <w:szCs w:val="24"/>
        </w:rPr>
        <w:t>Odločitev sodišč:</w:t>
      </w:r>
    </w:p>
    <w:p w:rsidR="00340AA4" w:rsidRPr="00BD3DDF" w:rsidRDefault="00340AA4" w:rsidP="00340AA4">
      <w:pPr>
        <w:ind w:left="720"/>
        <w:rPr>
          <w:szCs w:val="24"/>
        </w:rPr>
      </w:pPr>
      <w:r w:rsidRPr="00BD3DDF">
        <w:rPr>
          <w:szCs w:val="24"/>
        </w:rPr>
        <w:t>Sodišče prve stopnje je ugotovilo, da je patent ničen, ker izum, ki ga ščiti patent ob datumu prijave, ni izpolnjeval vseh zahtev za patentiranje. Patentni zahtevki 1, 2 in 3 niso izpolnjevali pogoja novosti. Njihove značilnosti so bile predhodno razkrite v videoposnetku, patentni zahtevek 4 pa ni izpolnjeval pogoja inventivnosti. Rešitev z uporabo merilne letve za merjenje premika hidravlične potisne naprave je bila za strokovnjaka s področja, na katerega se izum nanaša očitna na podlagi znanega stanja tehnike in splošnega znanja.</w:t>
      </w:r>
    </w:p>
    <w:p w:rsidR="00340AA4" w:rsidRPr="00BD3DDF" w:rsidRDefault="00340AA4" w:rsidP="00340AA4">
      <w:pPr>
        <w:ind w:left="720"/>
        <w:rPr>
          <w:szCs w:val="24"/>
        </w:rPr>
      </w:pPr>
      <w:r w:rsidRPr="00BD3DDF">
        <w:rPr>
          <w:szCs w:val="24"/>
        </w:rPr>
        <w:t xml:space="preserve">Sodišče druge stopnje je </w:t>
      </w:r>
      <w:r w:rsidR="0087742E" w:rsidRPr="00BD3DDF">
        <w:rPr>
          <w:szCs w:val="24"/>
        </w:rPr>
        <w:t xml:space="preserve">to </w:t>
      </w:r>
      <w:r w:rsidRPr="00BD3DDF">
        <w:rPr>
          <w:szCs w:val="24"/>
        </w:rPr>
        <w:t>odločitev potrdilo. Izpostavilo je, da je ugotavljanje obsega patentnega varstva vprašanje pravne narave. Sodišče prve stopnje je izhajalo iz vsebine patentnega zahtevka, upoštevalo je njegov uvodni in karakteristični del, kot se je glasil, pri razlagi pa si je pomagalo z njegovim opisom. Ključno za razlago obsega patentnega varstva je, kako bi strokovnjak s področja, na katero se izum nanaša, razumel besedilo, ki ga je v zahtevku uporabil imetnik patenta. Zanašanje na strokovne dejanske ugotovitve izvedencev je v tem pogledu dopustno. Pri presoji vsebine informacij iz znanega stanja tehnike ima odločilno vlogo znanje strokovnjaka kot dejansko merilo presoje. Pravno stališče sodišča prve stopnje, oprto na strokovne dejanske ugotovitve izvedenca, ne pomeni kršitve bistvenih pravil postopka. Sodišče prve stopnje je glede na dejanske ugotovitve izvedencev napravilo pravilne pravne zaključke glede neobstoja novosti in inventivnosti</w:t>
      </w:r>
      <w:r w:rsidR="007452A6" w:rsidRPr="00BD3DDF">
        <w:rPr>
          <w:szCs w:val="24"/>
        </w:rPr>
        <w:t xml:space="preserve"> </w:t>
      </w:r>
      <w:r w:rsidRPr="00BD3DDF">
        <w:rPr>
          <w:szCs w:val="24"/>
        </w:rPr>
        <w:t>izuma.</w:t>
      </w:r>
    </w:p>
    <w:p w:rsidR="00EE107E" w:rsidRDefault="00EE107E" w:rsidP="009520EF">
      <w:pPr>
        <w:rPr>
          <w:b/>
          <w:bCs/>
          <w:szCs w:val="24"/>
        </w:rPr>
      </w:pPr>
    </w:p>
    <w:p w:rsidR="009520EF" w:rsidRPr="00BD3DDF" w:rsidRDefault="009520EF" w:rsidP="009520EF">
      <w:pPr>
        <w:rPr>
          <w:b/>
          <w:bCs/>
          <w:szCs w:val="24"/>
        </w:rPr>
      </w:pPr>
      <w:r w:rsidRPr="00BD3DDF">
        <w:rPr>
          <w:b/>
          <w:bCs/>
          <w:szCs w:val="24"/>
        </w:rPr>
        <w:lastRenderedPageBreak/>
        <w:t>Komentar:</w:t>
      </w:r>
    </w:p>
    <w:p w:rsidR="00D76D1F" w:rsidRPr="00BD3DDF" w:rsidRDefault="009520EF" w:rsidP="009520EF">
      <w:pPr>
        <w:ind w:left="720"/>
      </w:pPr>
      <w:r w:rsidRPr="00BD3DDF">
        <w:t xml:space="preserve">V sodbi je pojasnjeno, kje je pri uveljavljanju ničnosti patenta meja med pravnimi in dejanskimi vprašanji. Sodišče je poudarilo, da je pri presoji izpodbijanja patenta primarno načelo celostne presoje izuma, kar določajo smernice </w:t>
      </w:r>
      <w:r w:rsidR="00880A39" w:rsidRPr="00BD3DDF">
        <w:t>Evropskega patentnega urada (</w:t>
      </w:r>
      <w:r w:rsidRPr="00BD3DDF">
        <w:t>EPO</w:t>
      </w:r>
      <w:r w:rsidR="00880A39" w:rsidRPr="00BD3DDF">
        <w:t>).</w:t>
      </w:r>
      <w:r w:rsidR="00880A39" w:rsidRPr="00BD3DDF">
        <w:rPr>
          <w:rStyle w:val="Sprotnaopomba-sklic"/>
        </w:rPr>
        <w:footnoteReference w:id="13"/>
      </w:r>
    </w:p>
    <w:p w:rsidR="00880A39" w:rsidRPr="00BD3DDF" w:rsidRDefault="00880A39" w:rsidP="003E32F0"/>
    <w:p w:rsidR="00C86869" w:rsidRPr="00BD3DDF" w:rsidRDefault="00C86869" w:rsidP="002764FA">
      <w:pPr>
        <w:pStyle w:val="Naslov4"/>
        <w:rPr>
          <w:rStyle w:val="Poudarek"/>
          <w:caps/>
          <w:color w:val="864EA8" w:themeColor="accent1" w:themeShade="BF"/>
          <w:spacing w:val="10"/>
        </w:rPr>
      </w:pPr>
      <w:bookmarkStart w:id="46" w:name="_Toc227678362"/>
      <w:bookmarkStart w:id="47" w:name="_Hlk227552673"/>
      <w:r w:rsidRPr="00BD3DDF">
        <w:rPr>
          <w:rStyle w:val="Poudarek"/>
          <w:caps/>
          <w:color w:val="864EA8" w:themeColor="accent1" w:themeShade="BF"/>
          <w:spacing w:val="10"/>
        </w:rPr>
        <w:t>VSL Sklep V Cpg 306/2025</w:t>
      </w:r>
      <w:r w:rsidR="007452A6" w:rsidRPr="00BD3DDF">
        <w:rPr>
          <w:rStyle w:val="Poudarek"/>
          <w:caps/>
          <w:color w:val="864EA8" w:themeColor="accent1" w:themeShade="BF"/>
          <w:spacing w:val="10"/>
        </w:rPr>
        <w:t xml:space="preserve"> </w:t>
      </w:r>
      <w:r w:rsidRPr="00BD3DDF">
        <w:rPr>
          <w:rStyle w:val="Poudarek"/>
          <w:caps/>
          <w:color w:val="864EA8" w:themeColor="accent1" w:themeShade="BF"/>
          <w:spacing w:val="10"/>
        </w:rPr>
        <w:t xml:space="preserve">z dne 11. </w:t>
      </w:r>
      <w:r w:rsidR="003E4CB3" w:rsidRPr="00BD3DDF">
        <w:rPr>
          <w:rStyle w:val="Poudarek"/>
          <w:caps/>
          <w:color w:val="864EA8" w:themeColor="accent1" w:themeShade="BF"/>
          <w:spacing w:val="10"/>
        </w:rPr>
        <w:t>septembra</w:t>
      </w:r>
      <w:r w:rsidRPr="00BD3DDF">
        <w:rPr>
          <w:rStyle w:val="Poudarek"/>
          <w:caps/>
          <w:color w:val="864EA8" w:themeColor="accent1" w:themeShade="BF"/>
          <w:spacing w:val="10"/>
        </w:rPr>
        <w:t xml:space="preserve"> 2025</w:t>
      </w:r>
      <w:bookmarkEnd w:id="46"/>
    </w:p>
    <w:bookmarkEnd w:id="47"/>
    <w:p w:rsidR="00C86869" w:rsidRPr="00BD3DDF" w:rsidRDefault="006A65D2" w:rsidP="00C86869">
      <w:pPr>
        <w:rPr>
          <w:b/>
          <w:bCs/>
        </w:rPr>
      </w:pPr>
      <w:r w:rsidRPr="00BD3DDF">
        <w:rPr>
          <w:b/>
          <w:bCs/>
        </w:rPr>
        <w:t>Nacionalno pravo:</w:t>
      </w:r>
    </w:p>
    <w:p w:rsidR="00C90007" w:rsidRPr="00BD3DDF" w:rsidRDefault="006A65D2" w:rsidP="006A65D2">
      <w:pPr>
        <w:ind w:firstLine="720"/>
      </w:pPr>
      <w:r w:rsidRPr="00BD3DDF">
        <w:t>Glej podpoglavje 2.1.1.2.</w:t>
      </w:r>
    </w:p>
    <w:p w:rsidR="006A65D2" w:rsidRPr="00BD3DDF" w:rsidRDefault="006A65D2" w:rsidP="006A65D2">
      <w:pPr>
        <w:rPr>
          <w:b/>
          <w:bCs/>
        </w:rPr>
      </w:pPr>
      <w:r w:rsidRPr="00BD3DDF">
        <w:rPr>
          <w:b/>
          <w:bCs/>
        </w:rPr>
        <w:t>Pravo EU:</w:t>
      </w:r>
    </w:p>
    <w:p w:rsidR="006A65D2" w:rsidRPr="00BD3DDF" w:rsidRDefault="006A65D2" w:rsidP="006A65D2">
      <w:pPr>
        <w:ind w:firstLine="720"/>
      </w:pPr>
      <w:r w:rsidRPr="00BD3DDF">
        <w:t>Glej podpoglavje 2.1.1.2.</w:t>
      </w:r>
    </w:p>
    <w:p w:rsidR="006A65D2" w:rsidRPr="00BD3DDF" w:rsidRDefault="006A65D2" w:rsidP="006A65D2">
      <w:pPr>
        <w:rPr>
          <w:b/>
          <w:bCs/>
        </w:rPr>
      </w:pPr>
      <w:r w:rsidRPr="00BD3DDF">
        <w:rPr>
          <w:b/>
          <w:bCs/>
        </w:rPr>
        <w:t>Dejansko stanje:</w:t>
      </w:r>
    </w:p>
    <w:p w:rsidR="006A65D2" w:rsidRPr="00BD3DDF" w:rsidRDefault="006A65D2" w:rsidP="006A65D2">
      <w:pPr>
        <w:ind w:left="720"/>
      </w:pPr>
      <w:r w:rsidRPr="00BD3DDF">
        <w:t xml:space="preserve">Prva predlagateljica je imetnica evropskega patenta za izum zdravljenja </w:t>
      </w:r>
      <w:proofErr w:type="spellStart"/>
      <w:r w:rsidRPr="00BD3DDF">
        <w:t>tromboembolijskih</w:t>
      </w:r>
      <w:proofErr w:type="spellEnd"/>
      <w:r w:rsidRPr="00BD3DDF">
        <w:t xml:space="preserve"> motenj z </w:t>
      </w:r>
      <w:proofErr w:type="spellStart"/>
      <w:r w:rsidRPr="00BD3DDF">
        <w:t>rivaroksabanom</w:t>
      </w:r>
      <w:proofErr w:type="spellEnd"/>
      <w:r w:rsidRPr="00BD3DDF">
        <w:t>. Patentirani izum se nanaša na režim odmerjanja zdravila z navedeno učinkovino, ki omogoča zaužitje samo ene tablete dnevno. Predlagateljici sta zatrjevali, da nasprotne udeleženke kršijo njun patent in predlagali izdajo začasne odredbe</w:t>
      </w:r>
      <w:r w:rsidR="007452A6" w:rsidRPr="00BD3DDF">
        <w:t xml:space="preserve"> </w:t>
      </w:r>
      <w:r w:rsidRPr="00BD3DDF">
        <w:t>s prepovednimi zahtevki.</w:t>
      </w:r>
    </w:p>
    <w:p w:rsidR="006A65D2" w:rsidRPr="00BD3DDF" w:rsidRDefault="006A65D2" w:rsidP="006A65D2">
      <w:pPr>
        <w:ind w:left="720"/>
      </w:pPr>
      <w:r w:rsidRPr="00BD3DDF">
        <w:rPr>
          <w:noProof/>
          <w:lang w:eastAsia="sl-SI"/>
        </w:rPr>
        <w:drawing>
          <wp:inline distT="0" distB="0" distL="0" distR="0" wp14:anchorId="2895B32A" wp14:editId="1E184100">
            <wp:extent cx="2013626" cy="1449945"/>
            <wp:effectExtent l="0" t="0" r="5715" b="0"/>
            <wp:docPr id="1915362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62570" name="Picture 191536257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40450" cy="1469260"/>
                    </a:xfrm>
                    <a:prstGeom prst="rect">
                      <a:avLst/>
                    </a:prstGeom>
                  </pic:spPr>
                </pic:pic>
              </a:graphicData>
            </a:graphic>
          </wp:inline>
        </w:drawing>
      </w:r>
    </w:p>
    <w:p w:rsidR="006A65D2" w:rsidRPr="00BD3DDF" w:rsidRDefault="006A65D2" w:rsidP="006A65D2">
      <w:pPr>
        <w:ind w:left="720"/>
        <w:rPr>
          <w:sz w:val="20"/>
        </w:rPr>
      </w:pPr>
      <w:r w:rsidRPr="00BD3DDF">
        <w:rPr>
          <w:sz w:val="20"/>
        </w:rPr>
        <w:t>Slika</w:t>
      </w:r>
      <w:r w:rsidR="00855176" w:rsidRPr="00BD3DDF">
        <w:rPr>
          <w:sz w:val="20"/>
        </w:rPr>
        <w:t xml:space="preserve"> 8</w:t>
      </w:r>
      <w:r w:rsidRPr="00BD3DDF">
        <w:rPr>
          <w:sz w:val="20"/>
        </w:rPr>
        <w:t>: škatlica zdravila prve predlagateljic</w:t>
      </w:r>
      <w:r w:rsidR="00855176" w:rsidRPr="00BD3DDF">
        <w:rPr>
          <w:sz w:val="20"/>
        </w:rPr>
        <w:t>e.</w:t>
      </w:r>
    </w:p>
    <w:p w:rsidR="007452A6" w:rsidRPr="00BD3DDF" w:rsidRDefault="007452A6" w:rsidP="007452A6">
      <w:pPr>
        <w:rPr>
          <w:b/>
          <w:bCs/>
          <w:szCs w:val="24"/>
        </w:rPr>
      </w:pPr>
      <w:r w:rsidRPr="00BD3DDF">
        <w:rPr>
          <w:b/>
          <w:bCs/>
          <w:szCs w:val="24"/>
        </w:rPr>
        <w:lastRenderedPageBreak/>
        <w:t>Odločitev sodišč:</w:t>
      </w:r>
    </w:p>
    <w:p w:rsidR="007452A6" w:rsidRPr="00BD3DDF" w:rsidRDefault="007452A6" w:rsidP="007452A6">
      <w:pPr>
        <w:ind w:left="720"/>
        <w:rPr>
          <w:szCs w:val="24"/>
        </w:rPr>
      </w:pPr>
      <w:r w:rsidRPr="00BD3DDF">
        <w:rPr>
          <w:szCs w:val="24"/>
        </w:rPr>
        <w:t xml:space="preserve">Sodišče prve stopnje je ugodilo predlogu prve in druge predlagateljice, naj nasprotnici zavarovanja prepove tržiti njeno zdravilo z </w:t>
      </w:r>
      <w:proofErr w:type="spellStart"/>
      <w:r w:rsidRPr="00BD3DDF">
        <w:rPr>
          <w:szCs w:val="24"/>
        </w:rPr>
        <w:t>rivaroksabanom</w:t>
      </w:r>
      <w:proofErr w:type="spellEnd"/>
      <w:r w:rsidRPr="00BD3DDF">
        <w:rPr>
          <w:szCs w:val="24"/>
        </w:rPr>
        <w:t xml:space="preserve"> in ji naloži, naj ga odpokliče iz prometa. Zavzelo je stališče, da sta predlagateljici izkazali, da so razlogi, da bo patent prve predlagateljice ostal v veljavi, močnejši od tistih, da bo razveljavljen. Pritožbeni senat EPO je namreč v</w:t>
      </w:r>
      <w:r w:rsidR="003E32F0" w:rsidRPr="00BD3DDF">
        <w:rPr>
          <w:szCs w:val="24"/>
        </w:rPr>
        <w:t xml:space="preserve"> </w:t>
      </w:r>
      <w:bookmarkStart w:id="48" w:name="_Hlk227553291"/>
      <w:r w:rsidR="003E32F0" w:rsidRPr="00BD3DDF">
        <w:rPr>
          <w:szCs w:val="24"/>
        </w:rPr>
        <w:t>odločbi z dne 27. 10. 2021 v</w:t>
      </w:r>
      <w:r w:rsidRPr="00BD3DDF">
        <w:rPr>
          <w:szCs w:val="24"/>
        </w:rPr>
        <w:t xml:space="preserve"> zadevi T 1732/2018 </w:t>
      </w:r>
      <w:bookmarkEnd w:id="48"/>
      <w:r w:rsidRPr="00BD3DDF">
        <w:rPr>
          <w:szCs w:val="24"/>
        </w:rPr>
        <w:t xml:space="preserve">zavrnil vseh 15 ugovorov zoper veljavnost patenta, izredno pravno sredstvo pred razširjenim pritožbenim senatom pa je bilo umaknjeno. Nasprotnica zavarovanja naj bi bila sicer izkazala, da potekajo postopki za ugotovitev ničnosti patenta v Združenem kraljestvu in več drugih državah, ter da rezultati teh postopkov niso enaki. Vendar naj bi predlagateljici izkazali, da se izpolnjenost pogoja inventivne ravni v Združenem kraljestvu presoja drugače. </w:t>
      </w:r>
    </w:p>
    <w:p w:rsidR="00855176" w:rsidRPr="00BD3DDF" w:rsidRDefault="007452A6" w:rsidP="007452A6">
      <w:pPr>
        <w:ind w:left="720"/>
        <w:rPr>
          <w:szCs w:val="24"/>
        </w:rPr>
      </w:pPr>
      <w:r w:rsidRPr="00BD3DDF">
        <w:rPr>
          <w:szCs w:val="24"/>
        </w:rPr>
        <w:t xml:space="preserve">Pritožbeno sodišče odločitev prvostopenjskega sodišča spremenilo tako, da je predlog za izdajo začasne odredbe zavrnilo v celoti. Upoštevalo je, da pritožbeni senat EPO ni obravnaval vseh ugovorov, ki jih je v slovenskem sporu dala nasprotnica zavarovanja. Na podlagi gradiva v spisu je pritožbeno sodišče ocenilo, da so verjetna dejstva, iz katerih izhaja, da je zadevni patent ničen, ker ne dosega inventivne ravni: verjetno je, da je bil patentirani dozirni režim za strokovnjaka glede na stanje tehnike ob datumu prednostne pravice očiten. Pri tem je upoštevalo predvsem sodno prakso </w:t>
      </w:r>
      <w:proofErr w:type="spellStart"/>
      <w:r w:rsidRPr="00BD3DDF">
        <w:rPr>
          <w:szCs w:val="24"/>
        </w:rPr>
        <w:t>Court</w:t>
      </w:r>
      <w:proofErr w:type="spellEnd"/>
      <w:r w:rsidRPr="00BD3DDF">
        <w:rPr>
          <w:szCs w:val="24"/>
        </w:rPr>
        <w:t xml:space="preserve"> </w:t>
      </w:r>
      <w:proofErr w:type="spellStart"/>
      <w:r w:rsidRPr="00BD3DDF">
        <w:rPr>
          <w:szCs w:val="24"/>
        </w:rPr>
        <w:t>of</w:t>
      </w:r>
      <w:proofErr w:type="spellEnd"/>
      <w:r w:rsidRPr="00BD3DDF">
        <w:rPr>
          <w:szCs w:val="24"/>
        </w:rPr>
        <w:t xml:space="preserve"> </w:t>
      </w:r>
      <w:proofErr w:type="spellStart"/>
      <w:r w:rsidRPr="00BD3DDF">
        <w:rPr>
          <w:szCs w:val="24"/>
        </w:rPr>
        <w:t>Appeal</w:t>
      </w:r>
      <w:proofErr w:type="spellEnd"/>
      <w:r w:rsidRPr="00BD3DDF">
        <w:rPr>
          <w:szCs w:val="24"/>
        </w:rPr>
        <w:t xml:space="preserve"> iz Združenega kraljestva.</w:t>
      </w:r>
    </w:p>
    <w:p w:rsidR="006A65D2" w:rsidRPr="00BD3DDF" w:rsidRDefault="007452A6" w:rsidP="006A65D2">
      <w:pPr>
        <w:rPr>
          <w:b/>
          <w:bCs/>
        </w:rPr>
      </w:pPr>
      <w:r w:rsidRPr="00BD3DDF">
        <w:rPr>
          <w:b/>
          <w:bCs/>
        </w:rPr>
        <w:t>Komentar:</w:t>
      </w:r>
    </w:p>
    <w:p w:rsidR="006A65D2" w:rsidRPr="00BD3DDF" w:rsidRDefault="007452A6" w:rsidP="004D4FA2">
      <w:pPr>
        <w:ind w:left="720"/>
      </w:pPr>
      <w:r w:rsidRPr="00BD3DDF">
        <w:t xml:space="preserve">Patent za </w:t>
      </w:r>
      <w:proofErr w:type="spellStart"/>
      <w:r w:rsidRPr="00BD3DDF">
        <w:t>Rivaroksaban</w:t>
      </w:r>
      <w:proofErr w:type="spellEnd"/>
      <w:r w:rsidRPr="00BD3DDF">
        <w:t xml:space="preserve"> (</w:t>
      </w:r>
      <w:proofErr w:type="spellStart"/>
      <w:r w:rsidRPr="00BD3DDF">
        <w:t>Xarelto</w:t>
      </w:r>
      <w:proofErr w:type="spellEnd"/>
      <w:r w:rsidRPr="00BD3DDF">
        <w:t>) je v ZDA poteke</w:t>
      </w:r>
      <w:r w:rsidR="004D4FA2" w:rsidRPr="00BD3DDF">
        <w:t>l</w:t>
      </w:r>
      <w:r w:rsidRPr="00BD3DDF">
        <w:t xml:space="preserve"> avgusta 2024, podaljšana pediatrična zaščita pa februarja 2025. Čeprav je </w:t>
      </w:r>
      <w:proofErr w:type="spellStart"/>
      <w:r w:rsidRPr="00BD3DDF">
        <w:t>Bayer</w:t>
      </w:r>
      <w:proofErr w:type="spellEnd"/>
      <w:r w:rsidRPr="00BD3DDF">
        <w:t xml:space="preserve"> prej zagotovil podaljšanje evropskih patentov za enkrat dnevno odmerjanje do januarja 2026, kar je bil predmet tega sodnega spora, so poznejše sodne odločbe v letih 2024 in 2025 v Združenem kraljestvu, na Irskem in v</w:t>
      </w:r>
      <w:r w:rsidR="004D4FA2" w:rsidRPr="00BD3DDF">
        <w:t xml:space="preserve"> Švici</w:t>
      </w:r>
      <w:r w:rsidRPr="00BD3DDF">
        <w:t xml:space="preserve"> patent razveljavile, kar je omogočilo zgodnejši vstop generičnih zdravil na trg. Tudi nemško Zvezno patentno sodišče je po prvotnem pogojnem mnenju iz leta 2024, v katerem so sodniki domnevali veljavnost patenta</w:t>
      </w:r>
      <w:r w:rsidR="004D4FA2" w:rsidRPr="00BD3DDF">
        <w:t>, patent</w:t>
      </w:r>
      <w:r w:rsidR="00AE35BC" w:rsidRPr="00BD3DDF">
        <w:t xml:space="preserve"> v </w:t>
      </w:r>
      <w:bookmarkStart w:id="49" w:name="_Hlk227553727"/>
      <w:r w:rsidR="00AE35BC" w:rsidRPr="00BD3DDF">
        <w:t xml:space="preserve">sodbi z dne 29. 7. 2025 v zadevi 3 Ni 11/22 (EP) </w:t>
      </w:r>
      <w:bookmarkEnd w:id="49"/>
      <w:r w:rsidR="004D4FA2" w:rsidRPr="00BD3DDF">
        <w:t xml:space="preserve">razveljavilo zaradi nedoseganja inventivne ravni. Po drugi strani pa je </w:t>
      </w:r>
      <w:proofErr w:type="spellStart"/>
      <w:r w:rsidR="004D4FA2" w:rsidRPr="00BD3DDF">
        <w:t>Bayer</w:t>
      </w:r>
      <w:proofErr w:type="spellEnd"/>
      <w:r w:rsidR="004D4FA2" w:rsidRPr="00BD3DDF">
        <w:t xml:space="preserve"> uspel z </w:t>
      </w:r>
      <w:r w:rsidR="004D4FA2" w:rsidRPr="00BD3DDF">
        <w:lastRenderedPageBreak/>
        <w:t xml:space="preserve">začasnimi odredbami proti </w:t>
      </w:r>
      <w:proofErr w:type="spellStart"/>
      <w:r w:rsidR="004D4FA2" w:rsidRPr="00BD3DDF">
        <w:t>generikom</w:t>
      </w:r>
      <w:proofErr w:type="spellEnd"/>
      <w:r w:rsidR="004D4FA2" w:rsidRPr="00BD3DDF">
        <w:t xml:space="preserve"> na Nizozemskem, Švedskem, v Avstriji in Belgiji. Primer kaže na neskladnost v odločanju o veljavnosti istega patenta med državami v Evropi.</w:t>
      </w:r>
    </w:p>
    <w:p w:rsidR="004D4FA2" w:rsidRPr="00BD3DDF" w:rsidRDefault="004D4FA2" w:rsidP="006A65D2"/>
    <w:p w:rsidR="009520EF" w:rsidRPr="00BD3DDF" w:rsidRDefault="00095D5F" w:rsidP="00095D5F">
      <w:pPr>
        <w:pStyle w:val="Naslov3"/>
      </w:pPr>
      <w:bookmarkStart w:id="50" w:name="_Toc227678363"/>
      <w:r w:rsidRPr="00BD3DDF">
        <w:t>Model</w:t>
      </w:r>
      <w:bookmarkEnd w:id="50"/>
    </w:p>
    <w:p w:rsidR="00095D5F" w:rsidRPr="00BD3DDF" w:rsidRDefault="00095D5F" w:rsidP="00095D5F">
      <w:pPr>
        <w:pStyle w:val="Naslov4"/>
      </w:pPr>
      <w:bookmarkStart w:id="51" w:name="_Toc227678364"/>
      <w:bookmarkStart w:id="52" w:name="_Hlk227553774"/>
      <w:r w:rsidRPr="00BD3DDF">
        <w:t>VSL Sklep V Cpg 25/2025 z dne 20. februarja 2025</w:t>
      </w:r>
      <w:bookmarkEnd w:id="51"/>
    </w:p>
    <w:bookmarkEnd w:id="52"/>
    <w:p w:rsidR="00095D5F" w:rsidRPr="00BD3DDF" w:rsidRDefault="00095D5F" w:rsidP="00095D5F">
      <w:pPr>
        <w:rPr>
          <w:b/>
          <w:bCs/>
        </w:rPr>
      </w:pPr>
      <w:r w:rsidRPr="00BD3DDF">
        <w:rPr>
          <w:b/>
          <w:bCs/>
        </w:rPr>
        <w:t>Nacionalno pravo:</w:t>
      </w:r>
    </w:p>
    <w:p w:rsidR="00095D5F" w:rsidRPr="00BD3DDF" w:rsidRDefault="006B153B" w:rsidP="00095D5F">
      <w:pPr>
        <w:ind w:left="720"/>
      </w:pPr>
      <w:r w:rsidRPr="00BD3DDF">
        <w:t>Glej podnaslov 2.1.1.2.</w:t>
      </w:r>
    </w:p>
    <w:p w:rsidR="00095D5F" w:rsidRPr="00BD3DDF" w:rsidRDefault="00BB6F7A" w:rsidP="00095D5F">
      <w:r w:rsidRPr="00BD3DDF">
        <w:rPr>
          <w:b/>
          <w:bCs/>
        </w:rPr>
        <w:t>Pravo EU</w:t>
      </w:r>
      <w:r w:rsidRPr="00BD3DDF">
        <w:t>:</w:t>
      </w:r>
    </w:p>
    <w:p w:rsidR="00BB6F7A" w:rsidRPr="00BD3DDF" w:rsidRDefault="00BB6F7A" w:rsidP="00BB6F7A">
      <w:pPr>
        <w:ind w:left="720"/>
      </w:pPr>
      <w:bookmarkStart w:id="53" w:name="_Hlk227553829"/>
      <w:r w:rsidRPr="00BD3DDF">
        <w:t>Uredba Sveta (ES) št. 6/2002 z dne 12. decembra 2001 o modelih Skupnosti</w:t>
      </w:r>
      <w:r w:rsidR="00AE35BC" w:rsidRPr="00BD3DDF">
        <w:rPr>
          <w:rStyle w:val="Sprotnaopomba-sklic"/>
        </w:rPr>
        <w:footnoteReference w:id="14"/>
      </w:r>
      <w:r w:rsidR="007452A6" w:rsidRPr="00BD3DDF">
        <w:t xml:space="preserve"> </w:t>
      </w:r>
      <w:bookmarkEnd w:id="53"/>
      <w:r w:rsidRPr="00BD3DDF">
        <w:t>v prvem odstavku 10. člena določa, da obseg varstva iz modela Skupnosti zajema vsak videz izdelka, ki na seznanjenega uporabnika ne naredi drugačnega celotnega vtisa. Registrirani model Skupnosti podeljuje imetniku izključno pravico do njegove uporabe in do tega, da prepreči njegovo uporabo vsaki tretji osebi, ki nima njegovega soglasja. Uporaba zajema zlasti izdelovanje, ponujanje, dajanje na trg, uvažanje, izvažanje ali uporabljanje izdelka, v katerega je videz izdelka vgrajen ali na katerega je pritrjen, ali skladiščenje takšnega izdelka v te namen (prvi odstavek 19. člena Uredbe). Pri sodišču države članice, vključno s sodišči za modele Skupnosti, se med drugim</w:t>
      </w:r>
      <w:r w:rsidR="007452A6" w:rsidRPr="00BD3DDF">
        <w:t xml:space="preserve"> </w:t>
      </w:r>
      <w:r w:rsidRPr="00BD3DDF">
        <w:t>lahko vloži zahteva za začasne ukrepe vključno z zaščitnimi ukrepi v zvezi z modelom Skupnosti, ki obstajajo v zakonodaji te države v zvezi s pravicami iz nacionalnega modela (prvi odstavek 90. člena Uredbe).</w:t>
      </w:r>
    </w:p>
    <w:p w:rsidR="00BB6F7A" w:rsidRPr="00BD3DDF" w:rsidRDefault="00BB6F7A" w:rsidP="00BB6F7A">
      <w:pPr>
        <w:rPr>
          <w:b/>
          <w:bCs/>
        </w:rPr>
      </w:pPr>
      <w:r w:rsidRPr="00BD3DDF">
        <w:rPr>
          <w:b/>
          <w:bCs/>
        </w:rPr>
        <w:t>Dejansko stanje:</w:t>
      </w:r>
    </w:p>
    <w:p w:rsidR="00BB6F7A" w:rsidRPr="00BD3DDF" w:rsidRDefault="00BB6F7A" w:rsidP="00BB6F7A">
      <w:pPr>
        <w:ind w:left="720"/>
      </w:pPr>
      <w:r w:rsidRPr="00BD3DDF">
        <w:t>Upnik</w:t>
      </w:r>
      <w:r w:rsidR="0098757D" w:rsidRPr="00BD3DDF">
        <w:t xml:space="preserve"> je belgijski </w:t>
      </w:r>
      <w:r w:rsidRPr="00BD3DDF">
        <w:t>proizvajalec čokoladnih izdelkov in sicer sezonskih čokoladnih figuric, lizik in reliefnih figur</w:t>
      </w:r>
      <w:r w:rsidR="0098757D" w:rsidRPr="00BD3DDF">
        <w:t xml:space="preserve"> in v ta namen tudi imetnik registriranih modelov Skupnosti. Prvi dolžnik v Sloveniji proizvaja č</w:t>
      </w:r>
      <w:r w:rsidRPr="00BD3DDF">
        <w:t xml:space="preserve">okoladne izdelke, drugi dolžnik pa jih </w:t>
      </w:r>
      <w:r w:rsidR="0098757D" w:rsidRPr="00BD3DDF">
        <w:lastRenderedPageBreak/>
        <w:t xml:space="preserve">prodaja </w:t>
      </w:r>
      <w:r w:rsidRPr="00BD3DDF">
        <w:t xml:space="preserve">v svojih poslovalnicah. </w:t>
      </w:r>
      <w:r w:rsidR="0098757D" w:rsidRPr="00BD3DDF">
        <w:t>Upnik je menil, da d</w:t>
      </w:r>
      <w:r w:rsidRPr="00BD3DDF">
        <w:t>olžnikove čokoladne lizike z videzom samoroga, Božička, opice, zajčka, piščančka in snežaka kršijo upnikove registrirane modele Skupnosti. Lizike za noč čarovnic</w:t>
      </w:r>
      <w:r w:rsidR="0098757D" w:rsidRPr="00BD3DDF">
        <w:t xml:space="preserve"> ter </w:t>
      </w:r>
      <w:r w:rsidRPr="00BD3DDF">
        <w:t xml:space="preserve">kartonasta stojala za lizike </w:t>
      </w:r>
      <w:r w:rsidR="0098757D" w:rsidRPr="00BD3DDF">
        <w:t xml:space="preserve">so </w:t>
      </w:r>
      <w:r w:rsidRPr="00BD3DDF">
        <w:t>po upnikovih trditvah očitno posnema</w:t>
      </w:r>
      <w:r w:rsidR="0098757D" w:rsidRPr="00BD3DDF">
        <w:t>la</w:t>
      </w:r>
      <w:r w:rsidRPr="00BD3DDF">
        <w:t xml:space="preserve"> z avtorsko pravico upnika zaščiteno podobo lizike za noč čarovnic in njegovo tržno podobo na kartonastih stojalih za lizike</w:t>
      </w:r>
      <w:r w:rsidR="0098757D" w:rsidRPr="00BD3DDF">
        <w:t>, to pa naj bi pomenilo</w:t>
      </w:r>
      <w:r w:rsidRPr="00BD3DDF">
        <w:t xml:space="preserve"> tudi dejanje nelojalne konkurence.</w:t>
      </w:r>
    </w:p>
    <w:p w:rsidR="00FF528E" w:rsidRPr="00BD3DDF" w:rsidRDefault="00FF528E" w:rsidP="00BB6F7A">
      <w:pPr>
        <w:ind w:left="720"/>
      </w:pPr>
      <w:r w:rsidRPr="00BD3DDF">
        <w:rPr>
          <w:noProof/>
          <w:lang w:eastAsia="sl-SI"/>
        </w:rPr>
        <w:drawing>
          <wp:inline distT="0" distB="0" distL="0" distR="0" wp14:anchorId="7531D2E6" wp14:editId="45BDAF38">
            <wp:extent cx="2918298" cy="2318434"/>
            <wp:effectExtent l="0" t="0" r="3175" b="5715"/>
            <wp:docPr id="678315435" name="Picture 4" descr="A group of chocolate candies&#10;&#10;AI-generated content may be incorrect.">
              <a:extLst xmlns:a="http://schemas.openxmlformats.org/drawingml/2006/main">
                <a:ext uri="{FF2B5EF4-FFF2-40B4-BE49-F238E27FC236}">
                  <a16:creationId xmlns:a16="http://schemas.microsoft.com/office/drawing/2014/main" id="{9C620130-B623-AE20-0923-A24D4E146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chocolate candies&#10;&#10;AI-generated content may be incorrect.">
                      <a:extLst>
                        <a:ext uri="{FF2B5EF4-FFF2-40B4-BE49-F238E27FC236}">
                          <a16:creationId xmlns:a16="http://schemas.microsoft.com/office/drawing/2014/main" id="{9C620130-B623-AE20-0923-A24D4E146D22}"/>
                        </a:ext>
                      </a:extLst>
                    </pic:cNvPr>
                    <pic:cNvPicPr>
                      <a:picLocks noChangeAspect="1"/>
                    </pic:cNvPicPr>
                  </pic:nvPicPr>
                  <pic:blipFill>
                    <a:blip r:embed="rId26"/>
                    <a:stretch>
                      <a:fillRect/>
                    </a:stretch>
                  </pic:blipFill>
                  <pic:spPr>
                    <a:xfrm>
                      <a:off x="0" y="0"/>
                      <a:ext cx="2935575" cy="2332160"/>
                    </a:xfrm>
                    <a:prstGeom prst="rect">
                      <a:avLst/>
                    </a:prstGeom>
                  </pic:spPr>
                </pic:pic>
              </a:graphicData>
            </a:graphic>
          </wp:inline>
        </w:drawing>
      </w:r>
    </w:p>
    <w:p w:rsidR="00FF528E" w:rsidRPr="00BD3DDF" w:rsidRDefault="00FF528E" w:rsidP="00BB6F7A">
      <w:pPr>
        <w:ind w:left="720"/>
        <w:rPr>
          <w:sz w:val="20"/>
        </w:rPr>
      </w:pPr>
      <w:r w:rsidRPr="00BD3DDF">
        <w:rPr>
          <w:sz w:val="20"/>
        </w:rPr>
        <w:t xml:space="preserve">Slika </w:t>
      </w:r>
      <w:r w:rsidR="00855176" w:rsidRPr="00BD3DDF">
        <w:rPr>
          <w:sz w:val="20"/>
        </w:rPr>
        <w:t>9: p</w:t>
      </w:r>
      <w:r w:rsidRPr="00BD3DDF">
        <w:rPr>
          <w:sz w:val="20"/>
        </w:rPr>
        <w:t>rimeri čokoladnih lizik s tradicionalnimi motivi</w:t>
      </w:r>
      <w:r w:rsidR="00855176" w:rsidRPr="00BD3DDF">
        <w:rPr>
          <w:sz w:val="20"/>
        </w:rPr>
        <w:t>.</w:t>
      </w:r>
    </w:p>
    <w:p w:rsidR="00FF528E" w:rsidRPr="00BD3DDF" w:rsidRDefault="00FF528E" w:rsidP="00FF528E">
      <w:pPr>
        <w:rPr>
          <w:b/>
          <w:bCs/>
        </w:rPr>
      </w:pPr>
      <w:r w:rsidRPr="00BD3DDF">
        <w:rPr>
          <w:b/>
          <w:bCs/>
        </w:rPr>
        <w:t>Odločitev sodišč:</w:t>
      </w:r>
    </w:p>
    <w:p w:rsidR="00FF528E" w:rsidRPr="00BD3DDF" w:rsidRDefault="00FF528E" w:rsidP="00FF528E">
      <w:pPr>
        <w:ind w:left="720"/>
      </w:pPr>
      <w:r w:rsidRPr="00BD3DDF">
        <w:t xml:space="preserve">Sodišče prve stopnje je zavrnilo predlog za izdajo začasne odredbe. </w:t>
      </w:r>
    </w:p>
    <w:p w:rsidR="00FF528E" w:rsidRPr="00BD3DDF" w:rsidRDefault="00FF528E" w:rsidP="00FF528E">
      <w:pPr>
        <w:ind w:left="720"/>
      </w:pPr>
      <w:r w:rsidRPr="00BD3DDF">
        <w:t xml:space="preserve">Pritoženo sodišče je odločitev sodišča prve stopnje potrdilo. Pojasnilo je, da splošen motiv Božička in ostalih tradicionalnih likov ne izpolnjuje pogojev novosti in individualne narave. Nad podobami Božička in ostalih tradicionalnih likov ni monopola. Pri teh oblikah so zato pomembni detajli, registrirani modeli takšnih podob pa imajo ožji obseg varstva. Dolžnikove čokoladne lizike imajo nedvomno veliko skupnih vizualnih značilnosti z upnikovimi modeli Skupnosti in so jim v tem smislu podobne. Ker pa je seznanjeni uporabnik zelo pozoren na (individualne) razlike, razlike med upnikovimi modeli Skupnosti in kršečimi izdelki v tej fazi postopka zadoščajo za verjetnost, da imajo kršeči izdelki ločen celotni vtis, ki ga seznanjeni uporabnik z visoko stopnjo pozornosti ne bo spregledal. Skupne značilnosti, lastne vsem podobam splošno znanih (tradicionalnih) likov namreč </w:t>
      </w:r>
      <w:r w:rsidRPr="00BD3DDF">
        <w:lastRenderedPageBreak/>
        <w:t>seznanjeni uporabnik zanemari. V konkretnem primeru pa nujna podobnost tradicionalnih likov snežaka, Božička, zajčka, piščančka, opice in samoroga, ki so splošno znani, povzroči, da je seznanjeni uporabnik bolj pozoren na razlike. Te razlike so vidne na sprednji strani izdelka in dovolj poudarjene, da v tej fazi postopka ni verjetno, da seznanjeni uporabnik pri zaznavi ne bi razlikoval med upnikovim modelom in kršečim izdelkom. Ker je za seznanjenega uporabnika izgled navedenih proizvodov zelo pomemben, teh razlik, tudi če se predpostavi, da so majhne, ne bo štel za zanemarljive. Tak uporabnik se šteje za posebej pazljivega, zato ga ne vodijo oblike likov, ki so relativno običajne, temveč bolj posebnosti, ki so dane vsaki posamezni obliki.</w:t>
      </w:r>
    </w:p>
    <w:p w:rsidR="00B766F0" w:rsidRPr="00BD3DDF" w:rsidRDefault="00B766F0" w:rsidP="00B766F0">
      <w:pPr>
        <w:rPr>
          <w:b/>
          <w:bCs/>
        </w:rPr>
      </w:pPr>
      <w:r w:rsidRPr="00BD3DDF">
        <w:rPr>
          <w:b/>
          <w:bCs/>
        </w:rPr>
        <w:t>Komentar:</w:t>
      </w:r>
    </w:p>
    <w:p w:rsidR="006A2B75" w:rsidRDefault="00B766F0" w:rsidP="002D074C">
      <w:pPr>
        <w:ind w:left="720"/>
      </w:pPr>
      <w:r w:rsidRPr="00BD3DDF">
        <w:t>Sodišče je sledilo uveljavljenim stališčem v sodni praksi glede presoje videza izdelkov v zvezi s kršitvijo pravic iz modela. Zaradi ozkega prostora pri oblikovanju izdelkov namenjenih splošni uporabi, ki se naslanjajo na tradicionalne figure in splošne motive, so v zvezi z presojo kršitve zaščitenih modelov pomembne individualne razlike, ki jih bo pozoren seznanjeni uporabnik opazil in jih ne bo zanemaril.</w:t>
      </w:r>
    </w:p>
    <w:p w:rsidR="00EE107E" w:rsidRPr="00BD3DDF" w:rsidRDefault="00EE107E" w:rsidP="002D074C">
      <w:pPr>
        <w:ind w:left="720"/>
      </w:pPr>
    </w:p>
    <w:p w:rsidR="006A2B75" w:rsidRPr="00BD3DDF" w:rsidRDefault="006A2B75" w:rsidP="006A2B75">
      <w:pPr>
        <w:pStyle w:val="Naslov3"/>
      </w:pPr>
      <w:bookmarkStart w:id="54" w:name="_Toc227678365"/>
      <w:r w:rsidRPr="00BD3DDF">
        <w:t>Zaščitena geografska označba</w:t>
      </w:r>
      <w:bookmarkEnd w:id="54"/>
    </w:p>
    <w:p w:rsidR="006A2B75" w:rsidRPr="00BD3DDF" w:rsidRDefault="006A2B75" w:rsidP="006A2B75">
      <w:pPr>
        <w:pStyle w:val="Naslov4"/>
      </w:pPr>
      <w:bookmarkStart w:id="55" w:name="_Toc227678366"/>
      <w:bookmarkStart w:id="56" w:name="_Hlk227667204"/>
      <w:r w:rsidRPr="00BD3DDF">
        <w:t>VSL Sodba V Cpg 103/2025 z dne 14. maja 2025</w:t>
      </w:r>
      <w:bookmarkEnd w:id="55"/>
    </w:p>
    <w:bookmarkEnd w:id="56"/>
    <w:p w:rsidR="00BD0545" w:rsidRPr="00BD3DDF" w:rsidRDefault="00BD0545" w:rsidP="00BD0545">
      <w:pPr>
        <w:rPr>
          <w:b/>
          <w:bCs/>
        </w:rPr>
      </w:pPr>
      <w:r w:rsidRPr="00BD3DDF">
        <w:rPr>
          <w:b/>
          <w:bCs/>
        </w:rPr>
        <w:t>Nacionalno pravo:</w:t>
      </w:r>
    </w:p>
    <w:p w:rsidR="00BD0545" w:rsidRPr="00BD3DDF" w:rsidRDefault="00BD0545" w:rsidP="00BD0545">
      <w:pPr>
        <w:ind w:left="720"/>
      </w:pPr>
      <w:r w:rsidRPr="00BD3DDF">
        <w:t>ZPOmK-2 v 134. členu določa, da so prepovedana dejanja nelojalne konkurence, med drugim prodaja blaga z označbami ali podatki, ki ustvarjajo ali utegnejo ustvariti zmedo glede izvora, načina proizvodnje, količine, kakovosti ali drugih lastnosti blaga (druga alineja tretjega odstavka citiranega člena).</w:t>
      </w:r>
    </w:p>
    <w:p w:rsidR="00EE107E" w:rsidRDefault="00EE107E" w:rsidP="00533D81">
      <w:pPr>
        <w:rPr>
          <w:b/>
          <w:bCs/>
        </w:rPr>
      </w:pPr>
    </w:p>
    <w:p w:rsidR="00EE107E" w:rsidRDefault="00EE107E" w:rsidP="00533D81">
      <w:pPr>
        <w:rPr>
          <w:b/>
          <w:bCs/>
        </w:rPr>
      </w:pPr>
    </w:p>
    <w:p w:rsidR="00533D81" w:rsidRPr="00BD3DDF" w:rsidRDefault="00533D81" w:rsidP="00533D81">
      <w:r w:rsidRPr="00BD3DDF">
        <w:rPr>
          <w:b/>
          <w:bCs/>
        </w:rPr>
        <w:lastRenderedPageBreak/>
        <w:t>Pravo EU:</w:t>
      </w:r>
    </w:p>
    <w:p w:rsidR="00533D81" w:rsidRPr="00BD3DDF" w:rsidRDefault="00533D81" w:rsidP="00533D81">
      <w:pPr>
        <w:ind w:left="720"/>
      </w:pPr>
      <w:bookmarkStart w:id="57" w:name="d1e38-1-1"/>
      <w:bookmarkStart w:id="58" w:name="_Hlk227553917"/>
      <w:bookmarkEnd w:id="57"/>
      <w:r w:rsidRPr="00BD3DDF">
        <w:t>Uredba (EU) 2024/1143 Evropskega parlamenta in Sveta z dne 11. aprila 2024 o geografskih označbah za vino, žgane pijače in kmetijske proizvode ter zajamčenih tradicionalnih posebnostih in neobveznih navedbah kakovosti za kmetijske proizvode</w:t>
      </w:r>
      <w:bookmarkStart w:id="59" w:name="_Hlk227553931"/>
      <w:bookmarkEnd w:id="58"/>
      <w:r w:rsidR="0099696A" w:rsidRPr="00BD3DDF">
        <w:rPr>
          <w:rStyle w:val="Sprotnaopomba-sklic"/>
        </w:rPr>
        <w:footnoteReference w:id="15"/>
      </w:r>
      <w:r w:rsidRPr="00BD3DDF">
        <w:t xml:space="preserve"> </w:t>
      </w:r>
      <w:bookmarkEnd w:id="59"/>
      <w:r w:rsidRPr="00BD3DDF">
        <w:t xml:space="preserve">v 26. členu določa, da so geografske označbe, vpisane v register Unije za geografske označbe, zaščitene pred: (a) vsako neposredno ali posredno komercialno rabo za proizvode, ki jih registracija ne zajema, kadar so ti proizvodi primerljivi s proizvodi, registriranimi pod navedenim imenom, ali kadar uporaba te geografske označbe za kateri koli proizvod ali katero koli storitev izkorišča, slabi, zmanjšuje ali kvari sloves zaščitenega imena, tudi kadar so ti proizvodi uporabljeni kot sestavina; (b) vsako zlorabo, posnemanjem ali namigovanjem, tudi če je resnično poreklo proizvodov ali storitev navedeno ali če je zaščiteno ime prevedeno, transkribirano ali prečrkovano ali če mu je dodan izraz, kot so „vrsta“, „tip“, „metoda“, „kot se proizvaja v“, „imitacija“, „okus“, „kot“ ali podobno, tudi kadar so ti proizvodi uporabljeni kot sestavina; (c) vsako drugo napačno ali zavajajočo označbo izvora, porekla, značaja ali bistvenih lastnosti proizvoda, ki se uporablja na notranji ali zunanji embalaži, v oglaševalskem gradivu, v dokumentih ali kot informacija na spletnih vmesnikih o zadevnem proizvodu ter pri pakiranju proizvoda v embalažo, ki lahko ustvari napačen vtis o njegovem poreklu; (d) vsako drugo prakso, ki lahko potrošnike </w:t>
      </w:r>
      <w:proofErr w:type="spellStart"/>
      <w:r w:rsidRPr="00BD3DDF">
        <w:t>zavede</w:t>
      </w:r>
      <w:proofErr w:type="spellEnd"/>
      <w:r w:rsidRPr="00BD3DDF">
        <w:t xml:space="preserve"> glede pravega porekla proizvoda.</w:t>
      </w:r>
    </w:p>
    <w:p w:rsidR="00533D81" w:rsidRPr="00BD3DDF" w:rsidRDefault="00533D81" w:rsidP="00533D81">
      <w:pPr>
        <w:ind w:left="720"/>
      </w:pPr>
      <w:bookmarkStart w:id="60" w:name="_Hlk227554035"/>
      <w:r w:rsidRPr="00BD3DDF">
        <w:t>Uredba Komisije (ES) št. 583/2009 z dne 3. julija 2009</w:t>
      </w:r>
      <w:r w:rsidR="00795D1E" w:rsidRPr="00BD3DDF">
        <w:rPr>
          <w:rStyle w:val="Sprotnaopomba-sklic"/>
        </w:rPr>
        <w:footnoteReference w:id="16"/>
      </w:r>
      <w:r w:rsidRPr="00BD3DDF">
        <w:t xml:space="preserve"> </w:t>
      </w:r>
      <w:bookmarkEnd w:id="60"/>
      <w:r w:rsidRPr="00BD3DDF">
        <w:t xml:space="preserve">določa vpis geografske označbe </w:t>
      </w:r>
      <w:proofErr w:type="spellStart"/>
      <w:r w:rsidRPr="00BD3DDF">
        <w:t>Aceto</w:t>
      </w:r>
      <w:proofErr w:type="spellEnd"/>
      <w:r w:rsidRPr="00BD3DDF">
        <w:t xml:space="preserve"> </w:t>
      </w:r>
      <w:proofErr w:type="spellStart"/>
      <w:r w:rsidRPr="00BD3DDF">
        <w:t>Balsamico</w:t>
      </w:r>
      <w:proofErr w:type="spellEnd"/>
      <w:r w:rsidRPr="00BD3DDF">
        <w:t xml:space="preserve"> di Modena v register zaščitenih označb porekla in zaščitenih geografskih označb.</w:t>
      </w:r>
    </w:p>
    <w:p w:rsidR="00533D81" w:rsidRPr="00BD3DDF" w:rsidRDefault="00533D81" w:rsidP="00533D81">
      <w:pPr>
        <w:rPr>
          <w:b/>
          <w:bCs/>
        </w:rPr>
      </w:pPr>
      <w:r w:rsidRPr="00BD3DDF">
        <w:rPr>
          <w:b/>
          <w:bCs/>
        </w:rPr>
        <w:t>Dejansko stanje:</w:t>
      </w:r>
    </w:p>
    <w:p w:rsidR="0099447D" w:rsidRPr="00BD3DDF" w:rsidRDefault="00533D81" w:rsidP="002D074C">
      <w:pPr>
        <w:ind w:left="720"/>
      </w:pPr>
      <w:r w:rsidRPr="00BD3DDF">
        <w:t>Tožnica je organizacija proizvajalcev balzamičnega kisa z označbo „</w:t>
      </w:r>
      <w:proofErr w:type="spellStart"/>
      <w:r w:rsidRPr="00BD3DDF">
        <w:t>Aceto</w:t>
      </w:r>
      <w:proofErr w:type="spellEnd"/>
      <w:r w:rsidRPr="00BD3DDF">
        <w:t xml:space="preserve"> </w:t>
      </w:r>
      <w:proofErr w:type="spellStart"/>
      <w:r w:rsidRPr="00BD3DDF">
        <w:t>Balsamico</w:t>
      </w:r>
      <w:proofErr w:type="spellEnd"/>
      <w:r w:rsidRPr="00BD3DDF">
        <w:t xml:space="preserve"> Modena“ in varuje njihove pravice, ki so zaščitene in vpisane v register na podlagi Uredbe Komisije (ES) št. 583/2009 z dne 3. julija 2009 o vpisu označbe v register zaščitenih označb porekla in zaščitenih geografskih označb. Toženka je proizvajalka </w:t>
      </w:r>
      <w:r w:rsidRPr="00BD3DDF">
        <w:lastRenderedPageBreak/>
        <w:t xml:space="preserve">balzamičnega kisa, ki ga označuje z oznako „BALZAMIČNI KIS </w:t>
      </w:r>
      <w:proofErr w:type="spellStart"/>
      <w:r w:rsidRPr="00BD3DDF">
        <w:t>Classico</w:t>
      </w:r>
      <w:proofErr w:type="spellEnd"/>
      <w:r w:rsidRPr="00BD3DDF">
        <w:t xml:space="preserve"> </w:t>
      </w:r>
      <w:proofErr w:type="spellStart"/>
      <w:r w:rsidRPr="00BD3DDF">
        <w:t>Italiano</w:t>
      </w:r>
      <w:proofErr w:type="spellEnd"/>
      <w:r w:rsidRPr="00BD3DDF">
        <w:t>“. Na etiketi na sprednji strani steklenice so navedeni v zgornjem delu na zelenem polju še linija izdelkov, ki ji izdelek toženke pripada (</w:t>
      </w:r>
      <w:proofErr w:type="spellStart"/>
      <w:r w:rsidRPr="00BD3DDF">
        <w:t>natureta</w:t>
      </w:r>
      <w:proofErr w:type="spellEnd"/>
      <w:r w:rsidRPr="00BD3DDF">
        <w:t xml:space="preserve">), oznaka slovenski izdelek je v nazobčanem krogu desno nad grafiko jabolka in grozdja, na dnu pa je še priporočilo za uporabo in volumen steklenice. Na etiketi na zadnji strani steklenice izdelka je opis sestave kisa, proizvajalec (toženka), hranilna vrednost in nekateri ostali podatki, kot je črtna koda. </w:t>
      </w:r>
    </w:p>
    <w:p w:rsidR="00533D81" w:rsidRPr="00BD3DDF" w:rsidRDefault="005107E2" w:rsidP="00533D81">
      <w:pPr>
        <w:ind w:left="720"/>
      </w:pPr>
      <w:r w:rsidRPr="00BD3DDF">
        <w:rPr>
          <w:noProof/>
        </w:rPr>
        <w:object w:dxaOrig="3160" w:dyaOrig="3170" w14:anchorId="549A6C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7.75pt;height:149.15pt;mso-width-percent:0;mso-height-percent:0;mso-width-percent:0;mso-height-percent:0" o:ole="">
            <v:imagedata r:id="rId27" o:title=""/>
          </v:shape>
          <o:OLEObject Type="Embed" ProgID="PBrush" ShapeID="_x0000_i1025" DrawAspect="Content" ObjectID="_1844234943" r:id="rId28"/>
        </w:object>
      </w:r>
    </w:p>
    <w:p w:rsidR="002D074C" w:rsidRPr="00BD3DDF" w:rsidRDefault="00533D81" w:rsidP="002D074C">
      <w:pPr>
        <w:ind w:left="720"/>
        <w:rPr>
          <w:sz w:val="20"/>
        </w:rPr>
      </w:pPr>
      <w:r w:rsidRPr="00BD3DDF">
        <w:rPr>
          <w:sz w:val="20"/>
        </w:rPr>
        <w:t xml:space="preserve">Slika </w:t>
      </w:r>
      <w:r w:rsidR="00855176" w:rsidRPr="00BD3DDF">
        <w:rPr>
          <w:sz w:val="20"/>
        </w:rPr>
        <w:t>10</w:t>
      </w:r>
      <w:r w:rsidRPr="00BD3DDF">
        <w:rPr>
          <w:sz w:val="20"/>
        </w:rPr>
        <w:t>: oznake na embalaži toženkinega kisa.</w:t>
      </w:r>
    </w:p>
    <w:p w:rsidR="0099447D" w:rsidRPr="00BD3DDF" w:rsidRDefault="0099447D" w:rsidP="0099447D">
      <w:pPr>
        <w:rPr>
          <w:b/>
          <w:bCs/>
        </w:rPr>
      </w:pPr>
      <w:r w:rsidRPr="00BD3DDF">
        <w:rPr>
          <w:b/>
          <w:bCs/>
        </w:rPr>
        <w:t>Odločitev sodišč:</w:t>
      </w:r>
    </w:p>
    <w:p w:rsidR="00533D81" w:rsidRPr="00BD3DDF" w:rsidRDefault="0099447D" w:rsidP="00533D81">
      <w:pPr>
        <w:ind w:left="720"/>
      </w:pPr>
      <w:r w:rsidRPr="00BD3DDF">
        <w:t>Sodišče je tožbeni zahtevek zavrnilo. V Republiki Sloveniji je „balzamični kis“ (ali prevodi tega izraza) generično poimenovanje. Tožnica ni upravičena monopolizirati izrazov „</w:t>
      </w:r>
      <w:proofErr w:type="spellStart"/>
      <w:r w:rsidRPr="00BD3DDF">
        <w:t>aceto</w:t>
      </w:r>
      <w:proofErr w:type="spellEnd"/>
      <w:r w:rsidRPr="00BD3DDF">
        <w:t>“ in „</w:t>
      </w:r>
      <w:proofErr w:type="spellStart"/>
      <w:r w:rsidRPr="00BD3DDF">
        <w:t>balsamico</w:t>
      </w:r>
      <w:proofErr w:type="spellEnd"/>
      <w:r w:rsidRPr="00BD3DDF">
        <w:t>“ ali besedne zveze iz teh izrazov. Uporaba izrazov na izdelku tožene stranke „balzamični kis“ ne more navajati na geografsko označbo „</w:t>
      </w:r>
      <w:proofErr w:type="spellStart"/>
      <w:r w:rsidRPr="00BD3DDF">
        <w:t>Aceto</w:t>
      </w:r>
      <w:proofErr w:type="spellEnd"/>
      <w:r w:rsidRPr="00BD3DDF">
        <w:t xml:space="preserve"> </w:t>
      </w:r>
      <w:proofErr w:type="spellStart"/>
      <w:r w:rsidRPr="00BD3DDF">
        <w:t>Balsamico</w:t>
      </w:r>
      <w:proofErr w:type="spellEnd"/>
      <w:r w:rsidRPr="00BD3DDF">
        <w:t xml:space="preserve"> di Modena“, ker v tem obsegu varstvo za geografsko označbo ni podano.</w:t>
      </w:r>
      <w:r w:rsidR="007452A6" w:rsidRPr="00BD3DDF">
        <w:t xml:space="preserve"> </w:t>
      </w:r>
      <w:r w:rsidRPr="00BD3DDF">
        <w:t>Prav zato, ker ima nesporen sloves le „</w:t>
      </w:r>
      <w:proofErr w:type="spellStart"/>
      <w:r w:rsidRPr="00BD3DDF">
        <w:t>Aceto</w:t>
      </w:r>
      <w:proofErr w:type="spellEnd"/>
      <w:r w:rsidRPr="00BD3DDF">
        <w:t xml:space="preserve"> </w:t>
      </w:r>
      <w:proofErr w:type="spellStart"/>
      <w:r w:rsidRPr="00BD3DDF">
        <w:t>Balsamico</w:t>
      </w:r>
      <w:proofErr w:type="spellEnd"/>
      <w:r w:rsidRPr="00BD3DDF">
        <w:t xml:space="preserve"> di Modena“ in ne neki drugi italijanski kisi, označba „</w:t>
      </w:r>
      <w:proofErr w:type="spellStart"/>
      <w:r w:rsidRPr="00BD3DDF">
        <w:t>Classico</w:t>
      </w:r>
      <w:proofErr w:type="spellEnd"/>
      <w:r w:rsidRPr="00BD3DDF">
        <w:t xml:space="preserve"> </w:t>
      </w:r>
      <w:proofErr w:type="spellStart"/>
      <w:r w:rsidRPr="00BD3DDF">
        <w:t>Italiano</w:t>
      </w:r>
      <w:proofErr w:type="spellEnd"/>
      <w:r w:rsidRPr="00BD3DDF">
        <w:t>“ ne more v smislu točke (b) prvega odstavka 26. člena Uredbe 2024/1143 navajati na geografsko označbo, ki je zaščitena. Kakršnakoli asociacija na zaščiteno geografsko območje – ki bi bila v konkretnem primeru le v tem, da „</w:t>
      </w:r>
      <w:proofErr w:type="spellStart"/>
      <w:r w:rsidRPr="00BD3DDF">
        <w:t>Classico</w:t>
      </w:r>
      <w:proofErr w:type="spellEnd"/>
      <w:r w:rsidRPr="00BD3DDF">
        <w:t xml:space="preserve"> </w:t>
      </w:r>
      <w:proofErr w:type="spellStart"/>
      <w:r w:rsidRPr="00BD3DDF">
        <w:t>Italiano</w:t>
      </w:r>
      <w:proofErr w:type="spellEnd"/>
      <w:r w:rsidRPr="00BD3DDF">
        <w:t xml:space="preserve">“ vodi v Italijo, del ozemlja Republike Italije pa sta tudi pokrajina Modena in </w:t>
      </w:r>
      <w:proofErr w:type="spellStart"/>
      <w:r w:rsidRPr="00BD3DDF">
        <w:t>Reggio</w:t>
      </w:r>
      <w:proofErr w:type="spellEnd"/>
      <w:r w:rsidRPr="00BD3DDF">
        <w:t xml:space="preserve"> </w:t>
      </w:r>
      <w:proofErr w:type="spellStart"/>
      <w:r w:rsidRPr="00BD3DDF">
        <w:t>Emilia</w:t>
      </w:r>
      <w:proofErr w:type="spellEnd"/>
      <w:r w:rsidRPr="00BD3DDF">
        <w:t xml:space="preserve"> – po Uredbi 2024/1143 ne zadošča. Besedna zveza „</w:t>
      </w:r>
      <w:proofErr w:type="spellStart"/>
      <w:r w:rsidRPr="00BD3DDF">
        <w:t>Classico</w:t>
      </w:r>
      <w:proofErr w:type="spellEnd"/>
      <w:r w:rsidRPr="00BD3DDF">
        <w:t xml:space="preserve"> </w:t>
      </w:r>
      <w:proofErr w:type="spellStart"/>
      <w:r w:rsidRPr="00BD3DDF">
        <w:t>Italiano</w:t>
      </w:r>
      <w:proofErr w:type="spellEnd"/>
      <w:r w:rsidRPr="00BD3DDF">
        <w:t>“ napeljuje na misel, da je kis bodisi izdelan v Italiji, ali po načinu izdelave klasično italijanski.</w:t>
      </w:r>
      <w:r w:rsidR="007452A6" w:rsidRPr="00BD3DDF">
        <w:t xml:space="preserve"> </w:t>
      </w:r>
      <w:r w:rsidRPr="00BD3DDF">
        <w:t xml:space="preserve">Vendar glede na ostale elemente etikete ob celoviti presoji povprečni evropski potrošnik ne bi bil </w:t>
      </w:r>
      <w:r w:rsidRPr="00BD3DDF">
        <w:lastRenderedPageBreak/>
        <w:t>zaveden o poreklu toženkinega izdelka. Pri presoji dejanj nelojalne konkurence je treba upoštevati jasne označbe na sprednji strani steklenice izdelka toženkinega izdelka, da gre za slovenski izdelek toženkine značilne prehranske linije izdelkov „</w:t>
      </w:r>
      <w:proofErr w:type="spellStart"/>
      <w:r w:rsidRPr="00BD3DDF">
        <w:t>natureta</w:t>
      </w:r>
      <w:proofErr w:type="spellEnd"/>
      <w:r w:rsidRPr="00BD3DDF">
        <w:t>“.</w:t>
      </w:r>
    </w:p>
    <w:p w:rsidR="006A2B75" w:rsidRPr="00BD3DDF" w:rsidRDefault="0057419B" w:rsidP="006A2B75">
      <w:pPr>
        <w:rPr>
          <w:b/>
          <w:bCs/>
        </w:rPr>
      </w:pPr>
      <w:r w:rsidRPr="00BD3DDF">
        <w:rPr>
          <w:b/>
          <w:bCs/>
        </w:rPr>
        <w:t>Komentar:</w:t>
      </w:r>
    </w:p>
    <w:p w:rsidR="0057419B" w:rsidRPr="00BD3DDF" w:rsidRDefault="0057419B" w:rsidP="0057419B">
      <w:pPr>
        <w:ind w:left="720"/>
      </w:pPr>
      <w:r w:rsidRPr="00BD3DDF">
        <w:t>Sodba je pomembna, ker je ob upoštevanju prakse SEU začrtala meje razlage 26. člena Uredbe Komisije 2024/1143. Sodišče (EU) je v zvezi z Uredbo 583/2009 že sodilo, da izraza „</w:t>
      </w:r>
      <w:proofErr w:type="spellStart"/>
      <w:r w:rsidRPr="00BD3DDF">
        <w:t>aceto</w:t>
      </w:r>
      <w:proofErr w:type="spellEnd"/>
      <w:r w:rsidRPr="00BD3DDF">
        <w:t>“ in „</w:t>
      </w:r>
      <w:proofErr w:type="spellStart"/>
      <w:r w:rsidRPr="00BD3DDF">
        <w:t>balsamico</w:t>
      </w:r>
      <w:proofErr w:type="spellEnd"/>
      <w:r w:rsidRPr="00BD3DDF">
        <w:t>“ ter njuna kombinacija in prevodi ne morejo biti upravičeni do varstva, saj gre za generično poimenovanje, ki se ne more registrirati kot geografska označba (28. člen Uredbe 2024/1143).</w:t>
      </w:r>
    </w:p>
    <w:p w:rsidR="004B13D3" w:rsidRPr="00BD3DDF" w:rsidRDefault="00E41E7C" w:rsidP="00E41E7C">
      <w:pPr>
        <w:spacing w:line="276" w:lineRule="auto"/>
        <w:jc w:val="left"/>
        <w:rPr>
          <w:caps/>
          <w:spacing w:val="15"/>
          <w:sz w:val="22"/>
          <w:szCs w:val="22"/>
        </w:rPr>
      </w:pPr>
      <w:r>
        <w:rPr>
          <w:caps/>
          <w:spacing w:val="15"/>
          <w:sz w:val="22"/>
          <w:szCs w:val="22"/>
        </w:rPr>
        <w:br w:type="page"/>
      </w:r>
    </w:p>
    <w:p w:rsidR="006B216F" w:rsidRPr="00BD3DDF" w:rsidRDefault="006B216F" w:rsidP="003D47D4">
      <w:pPr>
        <w:pStyle w:val="Naslov2"/>
      </w:pPr>
      <w:bookmarkStart w:id="61" w:name="_Toc169764607"/>
      <w:bookmarkStart w:id="62" w:name="_Toc227678367"/>
      <w:r w:rsidRPr="00BD3DDF">
        <w:lastRenderedPageBreak/>
        <w:t>Avtorska in sorodne pravice</w:t>
      </w:r>
      <w:bookmarkEnd w:id="61"/>
      <w:bookmarkEnd w:id="62"/>
    </w:p>
    <w:p w:rsidR="00D61690" w:rsidRPr="00BD3DDF" w:rsidRDefault="00D61690" w:rsidP="00306238">
      <w:pPr>
        <w:pStyle w:val="Naslov3"/>
      </w:pPr>
      <w:bookmarkStart w:id="63" w:name="_Toc227678368"/>
      <w:r w:rsidRPr="00BD3DDF">
        <w:t>Kolektivno upravljanje avtorske in sorodnih pravic</w:t>
      </w:r>
      <w:bookmarkEnd w:id="63"/>
    </w:p>
    <w:p w:rsidR="004A2CA8" w:rsidRPr="00BD3DDF" w:rsidRDefault="004A2CA8" w:rsidP="004A2CA8">
      <w:pPr>
        <w:pStyle w:val="Naslov4"/>
      </w:pPr>
      <w:bookmarkStart w:id="64" w:name="_Toc227678369"/>
      <w:bookmarkStart w:id="65" w:name="_Hlk227667490"/>
      <w:r w:rsidRPr="00BD3DDF">
        <w:rPr>
          <w:rFonts w:eastAsia="Times New Roman"/>
          <w:lang w:eastAsia="en-GB"/>
        </w:rPr>
        <w:t>VSL Sodba V Cpg 102/2025 z dne 11. septembra 2025</w:t>
      </w:r>
      <w:bookmarkEnd w:id="64"/>
    </w:p>
    <w:bookmarkEnd w:id="65"/>
    <w:p w:rsidR="004A2CA8" w:rsidRPr="00BD3DDF" w:rsidRDefault="004A2CA8" w:rsidP="004A2CA8">
      <w:pPr>
        <w:rPr>
          <w:b/>
          <w:bCs/>
        </w:rPr>
      </w:pPr>
      <w:r w:rsidRPr="00BD3DDF">
        <w:rPr>
          <w:b/>
          <w:bCs/>
        </w:rPr>
        <w:t>Dejansko stanje:</w:t>
      </w:r>
    </w:p>
    <w:p w:rsidR="004A2CA8" w:rsidRPr="00BD3DDF" w:rsidRDefault="004A2CA8" w:rsidP="004A2CA8">
      <w:pPr>
        <w:ind w:left="720"/>
      </w:pPr>
      <w:r w:rsidRPr="00BD3DDF">
        <w:t xml:space="preserve">Tožnica je kolektivna organizacija, ki je v spornem obdobju upravljala s pravicami kabelske </w:t>
      </w:r>
      <w:proofErr w:type="spellStart"/>
      <w:r w:rsidRPr="00BD3DDF">
        <w:t>retransmisije</w:t>
      </w:r>
      <w:proofErr w:type="spellEnd"/>
      <w:r w:rsidRPr="00BD3DDF">
        <w:t xml:space="preserve"> glasbe v televizijskih in radijskih programih. V tem postopku od toženke - kabelskega operaterja </w:t>
      </w:r>
      <w:proofErr w:type="spellStart"/>
      <w:r w:rsidRPr="00BD3DDF">
        <w:t>iztožuje</w:t>
      </w:r>
      <w:proofErr w:type="spellEnd"/>
      <w:r w:rsidRPr="00BD3DDF">
        <w:t xml:space="preserve"> plačilo običajnega nadomestila za kabelsko </w:t>
      </w:r>
      <w:proofErr w:type="spellStart"/>
      <w:r w:rsidRPr="00BD3DDF">
        <w:t>retransmisijo</w:t>
      </w:r>
      <w:proofErr w:type="spellEnd"/>
      <w:r w:rsidRPr="00BD3DDF">
        <w:t xml:space="preserve"> glasbe v televizijskih in radijskih programih za leto 2017. </w:t>
      </w:r>
    </w:p>
    <w:p w:rsidR="004A2CA8" w:rsidRPr="00BD3DDF" w:rsidRDefault="004A2CA8" w:rsidP="004A2CA8">
      <w:pPr>
        <w:rPr>
          <w:b/>
          <w:bCs/>
        </w:rPr>
      </w:pPr>
      <w:r w:rsidRPr="00BD3DDF">
        <w:rPr>
          <w:b/>
          <w:bCs/>
        </w:rPr>
        <w:t>Odločitev sodišč:</w:t>
      </w:r>
    </w:p>
    <w:p w:rsidR="004A2CA8" w:rsidRPr="00BD3DDF" w:rsidRDefault="004A2CA8" w:rsidP="004A2CA8">
      <w:pPr>
        <w:ind w:left="720"/>
      </w:pPr>
      <w:r w:rsidRPr="00BD3DDF">
        <w:t xml:space="preserve">Sodišče prve stopnje je tožnici prisodilo </w:t>
      </w:r>
      <w:proofErr w:type="spellStart"/>
      <w:r w:rsidRPr="00BD3DDF">
        <w:t>vtoževani</w:t>
      </w:r>
      <w:proofErr w:type="spellEnd"/>
      <w:r w:rsidRPr="00BD3DDF">
        <w:t xml:space="preserve"> znesek po pravilih, ki veljajo za neupravičeno obogatitev, upoštevaje daljši zastaralni rok. Toženka je očitala sodišču, da je s presojo, da ima tožnica pravico do primernega nadomestila za kabelsko </w:t>
      </w:r>
      <w:proofErr w:type="spellStart"/>
      <w:r w:rsidRPr="00BD3DDF">
        <w:t>retransmisijo</w:t>
      </w:r>
      <w:proofErr w:type="spellEnd"/>
      <w:r w:rsidRPr="00BD3DDF">
        <w:t xml:space="preserve"> glasbenih del na podlagi pravil o neupravičeni obogatitvi, zmotno uporabilo materialno pravo. Trdila je, da je prisoja zneska po pravilih neupravičene obogatitve v nasprotju z Direktivo 2004/48/ES.</w:t>
      </w:r>
      <w:r w:rsidRPr="00BD3DDF">
        <w:tab/>
      </w:r>
    </w:p>
    <w:p w:rsidR="004A2CA8" w:rsidRPr="00BD3DDF" w:rsidRDefault="004A2CA8" w:rsidP="004A2CA8">
      <w:pPr>
        <w:ind w:left="720"/>
      </w:pPr>
      <w:r w:rsidRPr="00BD3DDF">
        <w:t xml:space="preserve">Višje sodišče je poudarilo, da določa Direktiva 2004/48/ES minimalni standard glede spoštovanja pravic intelektualne lastnine in državam članicam ne preprečuje, da določijo ukrepe, ki zagotavljajo večje varstvo. Zato dopustitev, da tožnica izbere pravno podlago svojega zahtevka, ne pomeni </w:t>
      </w:r>
      <w:proofErr w:type="spellStart"/>
      <w:r w:rsidRPr="00BD3DDF">
        <w:t>obida</w:t>
      </w:r>
      <w:proofErr w:type="spellEnd"/>
      <w:r w:rsidRPr="00BD3DDF">
        <w:t xml:space="preserve"> določb Direktive 2004/48/ES in ne nasprotuje cilju harmonizacije. Direktiva 2004/48/ES ne omenja dolžine zastaralnih rokov, ne opredeljuje nenamerne oziroma namerne kršitve v posameznem primeru ter ne predpisuje, kako je treba upoštevati značaj kršitve v posameznih primerih. Po mnenju Višjega sodišča toženka ni postavila takšnih trditev, iz katerih bi izhajal razumen dvom glede razlage Direktive 2004/48/ES, kot ta sicer izhaja iz njenega namena in cilja. Zgolj zato, ker ima tožnica po ZASP na voljo odškodninski zahtevek, ne pomeni, da obogatitveni zahtevek ni dovoljen. Sodno varstvo za kršitve pravic ni celovito urejeno v ZASP. </w:t>
      </w:r>
      <w:bookmarkStart w:id="66" w:name="_Hlk227667311"/>
      <w:r w:rsidR="00CA3D52" w:rsidRPr="00BD3DDF">
        <w:t xml:space="preserve">Zakon o kolektivnem </w:t>
      </w:r>
      <w:r w:rsidR="00CA3D52" w:rsidRPr="00BD3DDF">
        <w:lastRenderedPageBreak/>
        <w:t>upravljanju avtorske in sorodnih pravic (</w:t>
      </w:r>
      <w:r w:rsidRPr="00BD3DDF">
        <w:t>ZKUASP</w:t>
      </w:r>
      <w:r w:rsidR="00CA3D52" w:rsidRPr="00BD3DDF">
        <w:t>)</w:t>
      </w:r>
      <w:r w:rsidR="00CA3D52" w:rsidRPr="00BD3DDF">
        <w:rPr>
          <w:rStyle w:val="Sprotnaopomba-sklic"/>
        </w:rPr>
        <w:footnoteReference w:id="17"/>
      </w:r>
      <w:r w:rsidRPr="00BD3DDF">
        <w:t xml:space="preserve"> </w:t>
      </w:r>
      <w:bookmarkEnd w:id="66"/>
      <w:r w:rsidRPr="00BD3DDF">
        <w:t>tožnice kot kolektivne organizacije ne omejuje pri izbiri pravne podlage zahtevka, zato njena procesna legitimacija ne zajema zgolj zahtevkov, ki so izrecno navedeni v ZASP. Takšno omejevanje zahtevkov bi tudi vodilo v slabši položaj imetnikov pravic, s katerimi upravlja tožnica. To pa bi bilo nasprotno s samim namenom obveznega kolektivnega upravljanja.</w:t>
      </w:r>
    </w:p>
    <w:p w:rsidR="004A2CA8" w:rsidRPr="00BD3DDF" w:rsidRDefault="004A2CA8" w:rsidP="004A2CA8">
      <w:pPr>
        <w:rPr>
          <w:b/>
          <w:bCs/>
        </w:rPr>
      </w:pPr>
      <w:r w:rsidRPr="00BD3DDF">
        <w:rPr>
          <w:b/>
          <w:bCs/>
        </w:rPr>
        <w:t>Komentar:</w:t>
      </w:r>
      <w:r w:rsidRPr="00BD3DDF">
        <w:rPr>
          <w:b/>
          <w:bCs/>
        </w:rPr>
        <w:tab/>
      </w:r>
    </w:p>
    <w:p w:rsidR="004A2CA8" w:rsidRPr="00BD3DDF" w:rsidRDefault="004A2CA8" w:rsidP="004A2CA8">
      <w:pPr>
        <w:ind w:left="720"/>
      </w:pPr>
      <w:r w:rsidRPr="00BD3DDF">
        <w:t>Sodba postavi jasne standarde v zvezi z dolžnostjo sodišča, da SEU postavi vprašanje v predhodno odločanje.</w:t>
      </w:r>
    </w:p>
    <w:p w:rsidR="00EE107E" w:rsidRPr="00BD3DDF" w:rsidRDefault="00EE107E" w:rsidP="007F0492">
      <w:pPr>
        <w:rPr>
          <w:szCs w:val="24"/>
        </w:rPr>
      </w:pPr>
    </w:p>
    <w:p w:rsidR="00DF3912" w:rsidRPr="00BD3DDF" w:rsidRDefault="00DF3912" w:rsidP="00306238">
      <w:pPr>
        <w:pStyle w:val="Naslov3"/>
      </w:pPr>
      <w:bookmarkStart w:id="67" w:name="_Toc227678370"/>
      <w:r w:rsidRPr="00BD3DDF">
        <w:t>Individualni avtorski spori</w:t>
      </w:r>
      <w:bookmarkEnd w:id="67"/>
    </w:p>
    <w:p w:rsidR="00204CB6" w:rsidRPr="00BD3DDF" w:rsidRDefault="00204CB6" w:rsidP="00204CB6">
      <w:pPr>
        <w:pStyle w:val="Naslov4"/>
        <w:rPr>
          <w:rFonts w:eastAsia="Times New Roman"/>
          <w:lang w:eastAsia="en-GB"/>
        </w:rPr>
      </w:pPr>
      <w:bookmarkStart w:id="68" w:name="_Toc227678371"/>
      <w:bookmarkStart w:id="69" w:name="_Hlk227667507"/>
      <w:r w:rsidRPr="00BD3DDF">
        <w:rPr>
          <w:rFonts w:eastAsia="Times New Roman"/>
          <w:lang w:eastAsia="en-GB"/>
        </w:rPr>
        <w:t>VSRS Sodba III Ips 18/2024</w:t>
      </w:r>
      <w:r w:rsidR="00E6435B" w:rsidRPr="00BD3DDF">
        <w:rPr>
          <w:rFonts w:eastAsia="Times New Roman"/>
          <w:lang w:eastAsia="en-GB"/>
        </w:rPr>
        <w:t xml:space="preserve"> z dne 8. septembra 2025</w:t>
      </w:r>
      <w:bookmarkEnd w:id="68"/>
    </w:p>
    <w:bookmarkEnd w:id="69"/>
    <w:p w:rsidR="003E4CB3" w:rsidRPr="00BD3DDF" w:rsidRDefault="003E4CB3" w:rsidP="003E4CB3">
      <w:pPr>
        <w:rPr>
          <w:b/>
          <w:bCs/>
          <w:lang w:eastAsia="en-GB"/>
        </w:rPr>
      </w:pPr>
      <w:r w:rsidRPr="00BD3DDF">
        <w:rPr>
          <w:b/>
          <w:bCs/>
          <w:lang w:eastAsia="en-GB"/>
        </w:rPr>
        <w:t>Nacionalno pravo:</w:t>
      </w:r>
    </w:p>
    <w:p w:rsidR="003E4CB3" w:rsidRPr="00BD3DDF" w:rsidRDefault="003E4CB3" w:rsidP="003E4CB3">
      <w:pPr>
        <w:ind w:left="720"/>
        <w:rPr>
          <w:lang w:eastAsia="en-GB"/>
        </w:rPr>
      </w:pPr>
      <w:r w:rsidRPr="00BD3DDF">
        <w:rPr>
          <w:lang w:eastAsia="en-GB"/>
        </w:rPr>
        <w:t>78. člen ZASP: “(1) Imetnik, na katerega je bila prenesena materialna avtorska pravica ali druga pravica avtorja, ne more brez dovoljenja avtorja te pravice prenesti naprej na tretje osebe, če ni s pogodbo drugače določeno. (2) Dovoljenje iz prejšnjega odstavka ni potrebno, če je nadaljnji prenos pravice posledica statusnih sprememb imetnika, njegovega stečaja ali redne likvidacije.”</w:t>
      </w:r>
    </w:p>
    <w:p w:rsidR="003E4CB3" w:rsidRPr="00BD3DDF" w:rsidRDefault="003E4CB3" w:rsidP="003E4CB3">
      <w:pPr>
        <w:ind w:left="720"/>
        <w:rPr>
          <w:lang w:eastAsia="en-GB"/>
        </w:rPr>
      </w:pPr>
      <w:r w:rsidRPr="00BD3DDF">
        <w:rPr>
          <w:lang w:eastAsia="en-GB"/>
        </w:rPr>
        <w:t xml:space="preserve">433. člen </w:t>
      </w:r>
      <w:bookmarkStart w:id="70" w:name="_Hlk227667615"/>
      <w:r w:rsidRPr="00BD3DDF">
        <w:rPr>
          <w:lang w:eastAsia="en-GB"/>
        </w:rPr>
        <w:t>Obligacijskega zakonika (OZ</w:t>
      </w:r>
      <w:bookmarkEnd w:id="70"/>
      <w:r w:rsidRPr="00BD3DDF">
        <w:rPr>
          <w:lang w:eastAsia="en-GB"/>
        </w:rPr>
        <w:t>):</w:t>
      </w:r>
      <w:r w:rsidR="00CA3D52" w:rsidRPr="00BD3DDF">
        <w:rPr>
          <w:rStyle w:val="Sprotnaopomba-sklic"/>
          <w:lang w:eastAsia="en-GB"/>
        </w:rPr>
        <w:footnoteReference w:id="18"/>
      </w:r>
      <w:r w:rsidRPr="00BD3DDF">
        <w:rPr>
          <w:lang w:eastAsia="en-GB"/>
        </w:rPr>
        <w:t xml:space="preserve"> “(1) Tisti, na katerega preide po pogodbi kakšna premoženjska celota ali posamezen njen del, odgovarja poleg dotedanjega imetnika in solidarno z njim za dolgove, ki se nanašajo na to celoto oziroma njen del, vendar le do vrednosti njenih aktiv.”</w:t>
      </w:r>
    </w:p>
    <w:p w:rsidR="00E41E7C" w:rsidRDefault="00E41E7C" w:rsidP="00204CB6">
      <w:pPr>
        <w:rPr>
          <w:b/>
          <w:bCs/>
        </w:rPr>
      </w:pPr>
    </w:p>
    <w:p w:rsidR="00E41E7C" w:rsidRDefault="00E41E7C" w:rsidP="00204CB6">
      <w:pPr>
        <w:rPr>
          <w:b/>
          <w:bCs/>
        </w:rPr>
      </w:pPr>
    </w:p>
    <w:p w:rsidR="00204CB6" w:rsidRPr="00BD3DDF" w:rsidRDefault="00204CB6" w:rsidP="00204CB6">
      <w:pPr>
        <w:rPr>
          <w:b/>
          <w:bCs/>
        </w:rPr>
      </w:pPr>
      <w:r w:rsidRPr="00BD3DDF">
        <w:rPr>
          <w:b/>
          <w:bCs/>
        </w:rPr>
        <w:lastRenderedPageBreak/>
        <w:t>Dejansko stanje:</w:t>
      </w:r>
    </w:p>
    <w:p w:rsidR="00204CB6" w:rsidRPr="00BD3DDF" w:rsidRDefault="00204CB6" w:rsidP="00204CB6">
      <w:pPr>
        <w:ind w:left="720"/>
      </w:pPr>
      <w:r w:rsidRPr="00BD3DDF">
        <w:t>Tož</w:t>
      </w:r>
      <w:r w:rsidR="00CA3D52" w:rsidRPr="00BD3DDF">
        <w:t>nica</w:t>
      </w:r>
      <w:r w:rsidRPr="00BD3DDF">
        <w:t xml:space="preserve"> je s tožbo uveljavljala varstvo zaradi posega v avtorsko pravico. Revizijski postopek </w:t>
      </w:r>
      <w:r w:rsidR="00CA3D52" w:rsidRPr="00BD3DDF">
        <w:t>je obravnaval</w:t>
      </w:r>
      <w:r w:rsidRPr="00BD3DDF">
        <w:t xml:space="preserve"> uveljavljano kršitev avtorskih pravic zaradi prenosa avtorskih pravic z družbe matere na hčerinsko družbo. Vrhovno sodišče s </w:t>
      </w:r>
      <w:bookmarkStart w:id="71" w:name="_Hlk227667551"/>
      <w:r w:rsidRPr="00BD3DDF">
        <w:t xml:space="preserve">sklepom III </w:t>
      </w:r>
      <w:proofErr w:type="spellStart"/>
      <w:r w:rsidRPr="00BD3DDF">
        <w:t>DoR</w:t>
      </w:r>
      <w:proofErr w:type="spellEnd"/>
      <w:r w:rsidRPr="00BD3DDF">
        <w:t xml:space="preserve"> 4/2024 z dne 14. 5. 2024 </w:t>
      </w:r>
      <w:bookmarkEnd w:id="71"/>
      <w:r w:rsidRPr="00BD3DDF">
        <w:t>dopustilo revizijo glede vprašanja: "Ali je materialnopravno pravilno stališče sodišča druge stopnje, glede na okoliščine konkretnega primera, da sodi v okvir termina "statusne spremembe" po 2. odstavku 78. člena ZASP tudi ureditev po 433. členu OZ in s tem "ustanovitev družbe hčere, ki prevzame izvajanje proizvodnje in prodaje v Sloveniji in vstopa v vsa pogodbena razmerja v zvezi s trženjem in prodajo pod blagovno znamko C."?</w:t>
      </w:r>
      <w:r w:rsidRPr="00BD3DDF">
        <w:tab/>
      </w:r>
    </w:p>
    <w:p w:rsidR="00204CB6" w:rsidRPr="00BD3DDF" w:rsidRDefault="00204CB6" w:rsidP="00204CB6">
      <w:pPr>
        <w:rPr>
          <w:b/>
          <w:bCs/>
        </w:rPr>
      </w:pPr>
      <w:r w:rsidRPr="00BD3DDF">
        <w:rPr>
          <w:b/>
          <w:bCs/>
        </w:rPr>
        <w:t>Odločitev Vrhovnega sodišča:</w:t>
      </w:r>
    </w:p>
    <w:p w:rsidR="00204CB6" w:rsidRPr="00BD3DDF" w:rsidRDefault="00204CB6" w:rsidP="00204CB6">
      <w:pPr>
        <w:ind w:left="720"/>
      </w:pPr>
      <w:r w:rsidRPr="00BD3DDF">
        <w:t xml:space="preserve">Vrhovno sodišče je razlagalo drugi odstavek 78. člena ZASP, po katerem dovoljenje avtorja za prenos ni potrebno, če je nadaljnji prenos pravice posledica statusnih sprememb imetnika. Pojasnilo je, da spada med statusne spremembe tudi ustanovitev hčerinske družbe in prenos dela funkcij družbe matere na novoustanovljeno družbo. Statusne spremembe torej niso samo statusna preoblikovanja po 579. členu </w:t>
      </w:r>
      <w:bookmarkStart w:id="72" w:name="_Hlk227667902"/>
      <w:r w:rsidR="00587743" w:rsidRPr="00BD3DDF">
        <w:t>Zakona o gospodarskih družbah (</w:t>
      </w:r>
      <w:r w:rsidRPr="00BD3DDF">
        <w:t>ZGD-1</w:t>
      </w:r>
      <w:r w:rsidR="00587743" w:rsidRPr="00BD3DDF">
        <w:t>)</w:t>
      </w:r>
      <w:r w:rsidR="00587743" w:rsidRPr="00BD3DDF">
        <w:rPr>
          <w:rStyle w:val="Sprotnaopomba-sklic"/>
        </w:rPr>
        <w:footnoteReference w:id="19"/>
      </w:r>
      <w:r w:rsidRPr="00BD3DDF">
        <w:t xml:space="preserve"> </w:t>
      </w:r>
      <w:bookmarkEnd w:id="72"/>
      <w:r w:rsidRPr="00BD3DDF">
        <w:t>(</w:t>
      </w:r>
      <w:r w:rsidR="00587743" w:rsidRPr="00BD3DDF">
        <w:t xml:space="preserve">tj. </w:t>
      </w:r>
      <w:r w:rsidRPr="00BD3DDF">
        <w:t>združitev, delitev, prenos premoženja, sprememba prav</w:t>
      </w:r>
      <w:r w:rsidR="004D3375" w:rsidRPr="00BD3DDF">
        <w:t>n</w:t>
      </w:r>
      <w:r w:rsidRPr="00BD3DDF">
        <w:t>oorganizacijske oblike). Pri razlagi pojma statusnih sprememb je treba uravnovesiti varovan položaj avtorja s toženkino pravico, da reorganizira svoje podjetje. Ni pa statusna sprememba v smislu 78. člena ZASP že vsak položaj po 433. členu OZ. Navedeni člen določa, da tisti, na katerega preide po pogodbi kakšna premoženjska celota ali posamezen njen del, odgovarja poleg dotedanjega imetnika in solidarno z njim za dolgove, ki se nanašajo na to celoto oziroma njen del, vendar le do vrednosti njenih aktiv. Zaradi svoje splošnosti</w:t>
      </w:r>
      <w:r w:rsidR="00587743" w:rsidRPr="00BD3DDF">
        <w:t xml:space="preserve"> vključuje</w:t>
      </w:r>
      <w:r w:rsidRPr="00BD3DDF">
        <w:t xml:space="preserve"> pravilo iz prvega odstavka 433. člena OZ tudi življenjske primere, v katerih se ne kaže potreba po uravnoteženju pravic avtorja in varovane </w:t>
      </w:r>
      <w:r w:rsidRPr="00BD3DDF">
        <w:lastRenderedPageBreak/>
        <w:t>pravice do svobodne gospodarske pobude imetnika pogodbeno prenesene materialne avtorske pravice.</w:t>
      </w:r>
      <w:r w:rsidRPr="00BD3DDF">
        <w:tab/>
      </w:r>
    </w:p>
    <w:p w:rsidR="00204CB6" w:rsidRPr="00BD3DDF" w:rsidRDefault="00204CB6" w:rsidP="00204CB6">
      <w:pPr>
        <w:rPr>
          <w:b/>
          <w:bCs/>
        </w:rPr>
      </w:pPr>
      <w:r w:rsidRPr="00BD3DDF">
        <w:rPr>
          <w:b/>
          <w:bCs/>
        </w:rPr>
        <w:t>Komentar:</w:t>
      </w:r>
    </w:p>
    <w:p w:rsidR="00204CB6" w:rsidRPr="00BD3DDF" w:rsidRDefault="00204CB6" w:rsidP="00204CB6">
      <w:pPr>
        <w:ind w:left="720"/>
      </w:pPr>
      <w:r w:rsidRPr="00BD3DDF">
        <w:t>Zelo pomembna sodba, v kateri je Vrhovno sodišče prvič razložilo pojem statusnih sprememb iz drugega odstavka 78. člena ZASP. Ta vključuje tudi prenos dela premoženja družbe na novoustanovljeno hčerinsko družbo.</w:t>
      </w:r>
    </w:p>
    <w:p w:rsidR="00204CB6" w:rsidRPr="00BD3DDF" w:rsidRDefault="00204CB6" w:rsidP="00204CB6">
      <w:pPr>
        <w:rPr>
          <w:rFonts w:ascii="Calibri" w:eastAsia="Times New Roman" w:hAnsi="Calibri" w:cs="Calibri"/>
          <w:color w:val="000000"/>
          <w:sz w:val="22"/>
          <w:szCs w:val="22"/>
          <w:lang w:eastAsia="en-GB"/>
        </w:rPr>
      </w:pPr>
    </w:p>
    <w:p w:rsidR="00204CB6" w:rsidRPr="00BD3DDF" w:rsidRDefault="00E6435B" w:rsidP="00E6435B">
      <w:pPr>
        <w:pStyle w:val="Naslov4"/>
        <w:rPr>
          <w:rFonts w:eastAsia="Times New Roman"/>
          <w:lang w:eastAsia="en-GB"/>
        </w:rPr>
      </w:pPr>
      <w:bookmarkStart w:id="73" w:name="_Toc227678372"/>
      <w:bookmarkStart w:id="74" w:name="_Hlk227667945"/>
      <w:r w:rsidRPr="00BD3DDF">
        <w:rPr>
          <w:rFonts w:eastAsia="Times New Roman"/>
          <w:lang w:eastAsia="en-GB"/>
        </w:rPr>
        <w:t>VSL Sodba in sklep V Cpg 573/2023 z dne 1. aprila 2025</w:t>
      </w:r>
      <w:bookmarkEnd w:id="73"/>
    </w:p>
    <w:bookmarkEnd w:id="74"/>
    <w:p w:rsidR="003E4CB3" w:rsidRPr="00BD3DDF" w:rsidRDefault="003E4CB3" w:rsidP="003E4CB3">
      <w:pPr>
        <w:rPr>
          <w:b/>
          <w:bCs/>
          <w:szCs w:val="24"/>
        </w:rPr>
      </w:pPr>
      <w:r w:rsidRPr="00BD3DDF">
        <w:rPr>
          <w:b/>
          <w:bCs/>
          <w:szCs w:val="24"/>
        </w:rPr>
        <w:t>Nacionalno pravo:</w:t>
      </w:r>
    </w:p>
    <w:p w:rsidR="00EE107E" w:rsidRPr="00E41E7C" w:rsidRDefault="003E4CB3" w:rsidP="00E41E7C">
      <w:pPr>
        <w:ind w:left="720"/>
        <w:rPr>
          <w:szCs w:val="24"/>
        </w:rPr>
      </w:pPr>
      <w:r w:rsidRPr="00BD3DDF">
        <w:rPr>
          <w:szCs w:val="24"/>
        </w:rPr>
        <w:t>Prvi odstavek 5. člena ZASP: »Avtorska dela so individualne intelektualne stvaritve s področja književnosti, znanosti in umetnosti, ki so na kakršenkoli način izražene, če ni s tem zakonom drugače določeno.«</w:t>
      </w:r>
    </w:p>
    <w:p w:rsidR="003E4CB3" w:rsidRPr="00BD3DDF" w:rsidRDefault="003E4CB3" w:rsidP="003E4CB3">
      <w:pPr>
        <w:rPr>
          <w:b/>
          <w:bCs/>
          <w:szCs w:val="24"/>
        </w:rPr>
      </w:pPr>
      <w:r w:rsidRPr="00BD3DDF">
        <w:rPr>
          <w:b/>
          <w:bCs/>
          <w:szCs w:val="24"/>
        </w:rPr>
        <w:t>Pravo EU:</w:t>
      </w:r>
    </w:p>
    <w:p w:rsidR="0097427D" w:rsidRPr="00BD3DDF" w:rsidRDefault="0097427D" w:rsidP="0097427D">
      <w:pPr>
        <w:ind w:left="720"/>
        <w:rPr>
          <w:szCs w:val="24"/>
        </w:rPr>
      </w:pPr>
      <w:r w:rsidRPr="00BD3DDF">
        <w:rPr>
          <w:szCs w:val="24"/>
        </w:rPr>
        <w:t>Čeprav pojem avtorskega dela v direktivah EU ni izrecno določen, obstaja v zvezi z opredelitvijo avtorskega dela bogata praksa SEU (</w:t>
      </w:r>
      <w:bookmarkStart w:id="75" w:name="_Hlk227667993"/>
      <w:r w:rsidRPr="00BD3DDF">
        <w:rPr>
          <w:szCs w:val="24"/>
        </w:rPr>
        <w:t xml:space="preserve">sodba SEU z dne 16. 7. 2009 v zadevi C-5/08 – </w:t>
      </w:r>
      <w:proofErr w:type="spellStart"/>
      <w:r w:rsidRPr="00BD3DDF">
        <w:rPr>
          <w:i/>
          <w:szCs w:val="24"/>
        </w:rPr>
        <w:t>Infopaq</w:t>
      </w:r>
      <w:proofErr w:type="spellEnd"/>
      <w:r w:rsidRPr="00BD3DDF">
        <w:rPr>
          <w:i/>
          <w:szCs w:val="24"/>
        </w:rPr>
        <w:t xml:space="preserve"> </w:t>
      </w:r>
      <w:proofErr w:type="spellStart"/>
      <w:r w:rsidRPr="00BD3DDF">
        <w:rPr>
          <w:i/>
          <w:szCs w:val="24"/>
        </w:rPr>
        <w:t>International</w:t>
      </w:r>
      <w:proofErr w:type="spellEnd"/>
      <w:r w:rsidRPr="00BD3DDF">
        <w:rPr>
          <w:szCs w:val="24"/>
        </w:rPr>
        <w:t xml:space="preserve">; sodba SEU z dne 22. 12. 2010 v zadevi C-393/09 – </w:t>
      </w:r>
      <w:r w:rsidRPr="00BD3DDF">
        <w:rPr>
          <w:i/>
          <w:szCs w:val="24"/>
        </w:rPr>
        <w:t>BSA</w:t>
      </w:r>
      <w:r w:rsidRPr="00BD3DDF">
        <w:rPr>
          <w:szCs w:val="24"/>
        </w:rPr>
        <w:t>; sodba SEU z dne 4. 10. 2011 v zadevah C-403/08 in C-429/08-</w:t>
      </w:r>
      <w:r w:rsidRPr="00BD3DDF">
        <w:rPr>
          <w:i/>
          <w:szCs w:val="24"/>
        </w:rPr>
        <w:t>FAPL</w:t>
      </w:r>
      <w:r w:rsidRPr="00BD3DDF">
        <w:rPr>
          <w:szCs w:val="24"/>
        </w:rPr>
        <w:t>; sodba SEU z dne 1. 12. 2011 v zadevi C-145/10 –</w:t>
      </w:r>
      <w:r w:rsidRPr="00BD3DDF">
        <w:rPr>
          <w:i/>
          <w:szCs w:val="24"/>
        </w:rPr>
        <w:t xml:space="preserve"> </w:t>
      </w:r>
      <w:proofErr w:type="spellStart"/>
      <w:r w:rsidRPr="00BD3DDF">
        <w:rPr>
          <w:i/>
          <w:szCs w:val="24"/>
        </w:rPr>
        <w:t>Painer</w:t>
      </w:r>
      <w:proofErr w:type="spellEnd"/>
      <w:r w:rsidRPr="00BD3DDF">
        <w:rPr>
          <w:szCs w:val="24"/>
        </w:rPr>
        <w:t xml:space="preserve">; sodba SEU z dne 2. 5. 2012 v zadevi C-406/10 – </w:t>
      </w:r>
      <w:r w:rsidRPr="00BD3DDF">
        <w:rPr>
          <w:i/>
          <w:szCs w:val="24"/>
        </w:rPr>
        <w:t>SAS Institute</w:t>
      </w:r>
      <w:r w:rsidRPr="00BD3DDF">
        <w:rPr>
          <w:szCs w:val="24"/>
        </w:rPr>
        <w:t>; sodba SEU z dne 7. 8. 2018 v zadevi C-161/17 –</w:t>
      </w:r>
      <w:r w:rsidRPr="00BD3DDF">
        <w:rPr>
          <w:i/>
          <w:szCs w:val="24"/>
        </w:rPr>
        <w:t xml:space="preserve"> </w:t>
      </w:r>
      <w:proofErr w:type="spellStart"/>
      <w:r w:rsidRPr="00BD3DDF">
        <w:rPr>
          <w:i/>
          <w:szCs w:val="24"/>
        </w:rPr>
        <w:t>Renckhoff</w:t>
      </w:r>
      <w:proofErr w:type="spellEnd"/>
      <w:r w:rsidRPr="00BD3DDF">
        <w:rPr>
          <w:szCs w:val="24"/>
        </w:rPr>
        <w:t xml:space="preserve">; sodba SEU z dne 12. 9. 2019 v zadevi C-683/17 – </w:t>
      </w:r>
      <w:proofErr w:type="spellStart"/>
      <w:r w:rsidRPr="00BD3DDF">
        <w:rPr>
          <w:i/>
          <w:szCs w:val="24"/>
        </w:rPr>
        <w:t>Cofemel</w:t>
      </w:r>
      <w:proofErr w:type="spellEnd"/>
      <w:r w:rsidRPr="00BD3DDF">
        <w:rPr>
          <w:szCs w:val="24"/>
        </w:rPr>
        <w:t xml:space="preserve">; sodba SEU z dne 11. 6. 2020 v zadevi C-833/18 – </w:t>
      </w:r>
      <w:proofErr w:type="spellStart"/>
      <w:r w:rsidRPr="00BD3DDF">
        <w:rPr>
          <w:i/>
          <w:szCs w:val="24"/>
        </w:rPr>
        <w:t>Brompton</w:t>
      </w:r>
      <w:proofErr w:type="spellEnd"/>
      <w:r w:rsidRPr="00BD3DDF">
        <w:rPr>
          <w:i/>
          <w:szCs w:val="24"/>
        </w:rPr>
        <w:t xml:space="preserve"> </w:t>
      </w:r>
      <w:proofErr w:type="spellStart"/>
      <w:r w:rsidRPr="00BD3DDF">
        <w:rPr>
          <w:i/>
          <w:szCs w:val="24"/>
        </w:rPr>
        <w:t>Bicycle</w:t>
      </w:r>
      <w:proofErr w:type="spellEnd"/>
      <w:r w:rsidRPr="00BD3DDF">
        <w:rPr>
          <w:szCs w:val="24"/>
        </w:rPr>
        <w:t>).</w:t>
      </w:r>
    </w:p>
    <w:bookmarkEnd w:id="75"/>
    <w:p w:rsidR="00E6435B" w:rsidRPr="00BD3DDF" w:rsidRDefault="00E6435B" w:rsidP="00204CB6">
      <w:pPr>
        <w:rPr>
          <w:b/>
          <w:bCs/>
        </w:rPr>
      </w:pPr>
      <w:r w:rsidRPr="00BD3DDF">
        <w:rPr>
          <w:b/>
          <w:bCs/>
        </w:rPr>
        <w:t>Dejansko stanje:</w:t>
      </w:r>
    </w:p>
    <w:p w:rsidR="00204CB6" w:rsidRPr="00BD3DDF" w:rsidRDefault="00204CB6" w:rsidP="00E6435B">
      <w:pPr>
        <w:ind w:left="720"/>
      </w:pPr>
      <w:r w:rsidRPr="00BD3DDF">
        <w:t xml:space="preserve">Tožnica je podjetje, ki na spletu preko spletne platforme </w:t>
      </w:r>
      <w:proofErr w:type="spellStart"/>
      <w:r w:rsidRPr="00BD3DDF">
        <w:t>Etsy</w:t>
      </w:r>
      <w:proofErr w:type="spellEnd"/>
      <w:r w:rsidRPr="00BD3DDF">
        <w:t xml:space="preserve"> prodaja nakit. Tožnica je ugotovila, da druga družba na isti platformi prodaja nakit, ustvarjen s kršitvijo tožničinih avtorskih pravic. Zato je vložila tožbo zoper to drugo družbo, njenega direktorja in lastnika, ter zoper dva svoja nekdanja zaposlena, ki sodelujeta z drugo družbo. Trdila je, da sta nekdanja zaposlena pri njej pridobila znanje iz proizvodnje </w:t>
      </w:r>
      <w:r w:rsidRPr="00BD3DDF">
        <w:lastRenderedPageBreak/>
        <w:t xml:space="preserve">in distribucije visoko cenovnega nakita, nato pa naj bi pred odhodom kopirala tožničino bazo risb in modelov nakita ter kontakte dobaviteljev. Tožnica je zahtevala prepoved vseh oblik uporabe več 2D risb prstanov, odstranitev 38 vrst prstanov iz gospodarskih tokov, uničenje predmetov kršitve, objavo sodbe na spletni strani prve toženke in na </w:t>
      </w:r>
      <w:r w:rsidR="00BD3DDF" w:rsidRPr="00BD3DDF">
        <w:t>Facebook</w:t>
      </w:r>
      <w:r w:rsidRPr="00BD3DDF">
        <w:t xml:space="preserve"> platformi v angleškem jeziku za 12 mesecev, ter plačilo odškodnine. Tožnica je tožbeni zahtevek utemeljevala tudi na kršitvi poslovne skrivnosti in nelojalni konkurenci. Tožena družba je proti tožnici vložila nasprotno tožbo, s katero zahteva odškodnino zaradi ukinjene trgovine na spletni platformi </w:t>
      </w:r>
      <w:proofErr w:type="spellStart"/>
      <w:r w:rsidRPr="00BD3DDF">
        <w:t>Etsy</w:t>
      </w:r>
      <w:proofErr w:type="spellEnd"/>
      <w:r w:rsidRPr="00BD3DDF">
        <w:t xml:space="preserve">. Tožnica naj bi s ponavljajočimi prijavami in neresničnimi očitki kršitev pravic dosegla, da je spletna platforma </w:t>
      </w:r>
      <w:proofErr w:type="spellStart"/>
      <w:r w:rsidRPr="00BD3DDF">
        <w:t>Etsy</w:t>
      </w:r>
      <w:proofErr w:type="spellEnd"/>
      <w:r w:rsidRPr="00BD3DDF">
        <w:t xml:space="preserve"> toženki zaprla trgovino in ji onemogočila nadaljn</w:t>
      </w:r>
      <w:r w:rsidR="00230B8E" w:rsidRPr="00BD3DDF">
        <w:t>j</w:t>
      </w:r>
      <w:r w:rsidRPr="00BD3DDF">
        <w:t>o prodajo na platformi.</w:t>
      </w:r>
      <w:r w:rsidRPr="00BD3DDF">
        <w:tab/>
      </w:r>
    </w:p>
    <w:p w:rsidR="00E6435B" w:rsidRPr="00BD3DDF" w:rsidRDefault="00E6435B" w:rsidP="00E6435B">
      <w:pPr>
        <w:ind w:left="720"/>
      </w:pPr>
      <w:r w:rsidRPr="00BD3DDF">
        <w:rPr>
          <w:noProof/>
          <w:lang w:eastAsia="sl-SI"/>
        </w:rPr>
        <w:drawing>
          <wp:inline distT="0" distB="0" distL="0" distR="0" wp14:anchorId="20411675" wp14:editId="1E1FC301">
            <wp:extent cx="1847215" cy="1400783"/>
            <wp:effectExtent l="0" t="0" r="0" b="0"/>
            <wp:docPr id="654181287" name="Picture 4" descr="A gold ring with a stone in the center&#10;&#10;AI-generated content may be incorrect.">
              <a:extLst xmlns:a="http://schemas.openxmlformats.org/drawingml/2006/main">
                <a:ext uri="{FF2B5EF4-FFF2-40B4-BE49-F238E27FC236}">
                  <a16:creationId xmlns:a16="http://schemas.microsoft.com/office/drawing/2014/main" id="{EA5F23ED-ABC5-1FBE-2792-C9F227D92E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old ring with a stone in the center&#10;&#10;AI-generated content may be incorrect.">
                      <a:extLst>
                        <a:ext uri="{FF2B5EF4-FFF2-40B4-BE49-F238E27FC236}">
                          <a16:creationId xmlns:a16="http://schemas.microsoft.com/office/drawing/2014/main" id="{EA5F23ED-ABC5-1FBE-2792-C9F227D92E2C}"/>
                        </a:ext>
                      </a:extLst>
                    </pic:cNvPr>
                    <pic:cNvPicPr>
                      <a:picLocks noChangeAspect="1"/>
                    </pic:cNvPicPr>
                  </pic:nvPicPr>
                  <pic:blipFill>
                    <a:blip r:embed="rId29"/>
                    <a:stretch>
                      <a:fillRect/>
                    </a:stretch>
                  </pic:blipFill>
                  <pic:spPr>
                    <a:xfrm>
                      <a:off x="0" y="0"/>
                      <a:ext cx="1874851" cy="1421740"/>
                    </a:xfrm>
                    <a:prstGeom prst="rect">
                      <a:avLst/>
                    </a:prstGeom>
                  </pic:spPr>
                </pic:pic>
              </a:graphicData>
            </a:graphic>
          </wp:inline>
        </w:drawing>
      </w:r>
    </w:p>
    <w:p w:rsidR="00E6435B" w:rsidRPr="00BD3DDF" w:rsidRDefault="00E6435B" w:rsidP="00E6435B">
      <w:pPr>
        <w:ind w:left="720"/>
      </w:pPr>
      <w:r w:rsidRPr="00BD3DDF">
        <w:rPr>
          <w:sz w:val="20"/>
        </w:rPr>
        <w:t>Slika 11: primer prstana vrste »kite ring«.</w:t>
      </w:r>
    </w:p>
    <w:p w:rsidR="00E6435B" w:rsidRPr="00BD3DDF" w:rsidRDefault="00E6435B" w:rsidP="00204CB6">
      <w:pPr>
        <w:rPr>
          <w:b/>
          <w:bCs/>
        </w:rPr>
      </w:pPr>
    </w:p>
    <w:p w:rsidR="00E6435B" w:rsidRPr="00BD3DDF" w:rsidRDefault="00E6435B" w:rsidP="00204CB6">
      <w:pPr>
        <w:rPr>
          <w:b/>
          <w:bCs/>
        </w:rPr>
      </w:pPr>
      <w:r w:rsidRPr="00BD3DDF">
        <w:rPr>
          <w:b/>
          <w:bCs/>
        </w:rPr>
        <w:t>Odločitev sodišč:</w:t>
      </w:r>
    </w:p>
    <w:p w:rsidR="00204CB6" w:rsidRPr="00BD3DDF" w:rsidRDefault="00204CB6" w:rsidP="00E6435B">
      <w:pPr>
        <w:ind w:left="720"/>
      </w:pPr>
      <w:r w:rsidRPr="00BD3DDF">
        <w:t xml:space="preserve">Sodišče prve stopnje je zahtevku po tožbi ugodilo proti toženi družbi ter dvema nekdanjima zaposlenima glede dveh prstanov, glede 36 prstanov pa je tožbene zahtevke zavrnilo. Pri tem je preverjalo, ali so posamezni prstani avtorsko delo? Takšni so tisti, ki odražajo osebno noto avtorja (merilo individualnosti), ki se lahko pri prstanih kaže v izbiri velikosti kamnov, njihovi obliki, razporeditvi, in načinu kovanja. Nato je preverjalo, ali so toženkini izdelki predelave tožničinega avtorskega dela, pri katerih bi se prevzele bistvene poteze prvotnega dela? Zaradi tehničnih omejitev pri izdelavi prstanov je sodišče pri primerjavi upoštevalo celostni vtis izdelka. Za dva prstana, glede katerih je ugotovilo kršitev, je poudarilo, da sta tako posebna, da odražata avtorjevo individualnost, pri čemer toženka ni predložila </w:t>
      </w:r>
      <w:r w:rsidRPr="00BD3DDF">
        <w:lastRenderedPageBreak/>
        <w:t>podobnih izdelkov drugih ponudnikov. Toženka je v celoti prekopirala dizajn, tudi z nekaterimi spremembami je bil učinek v bistvenem enak, zato je kršila tožničine pravice reproduciranja, distribuiranja in predelave avtorskih del.  Sodišče je za nekatere linije prstanov (</w:t>
      </w:r>
      <w:proofErr w:type="spellStart"/>
      <w:r w:rsidRPr="00BD3DDF">
        <w:t>artdeco</w:t>
      </w:r>
      <w:proofErr w:type="spellEnd"/>
      <w:r w:rsidRPr="00BD3DDF">
        <w:t xml:space="preserve">, </w:t>
      </w:r>
      <w:proofErr w:type="spellStart"/>
      <w:r w:rsidRPr="00BD3DDF">
        <w:t>floral</w:t>
      </w:r>
      <w:proofErr w:type="spellEnd"/>
      <w:r w:rsidRPr="00BD3DDF">
        <w:t xml:space="preserve">, </w:t>
      </w:r>
      <w:proofErr w:type="spellStart"/>
      <w:r w:rsidRPr="00BD3DDF">
        <w:t>tree</w:t>
      </w:r>
      <w:proofErr w:type="spellEnd"/>
      <w:r w:rsidRPr="00BD3DDF">
        <w:t xml:space="preserve"> nest, </w:t>
      </w:r>
      <w:proofErr w:type="spellStart"/>
      <w:r w:rsidRPr="00BD3DDF">
        <w:t>settings</w:t>
      </w:r>
      <w:proofErr w:type="spellEnd"/>
      <w:r w:rsidRPr="00BD3DDF">
        <w:t xml:space="preserve">) ugotovilo, da izpolnjujejo merilo individualnosti. Kršitve pa vseeno ni ugotovilo, ker so izdelki prve toženke dajali drugačen estetski učinek, ki ni odražal več osebnosti istega avtorja. Pri tako tehničnih in estetsko dovršenih izdelkih, kot so prstani, lahko že najmanjša sprememba povzroči drugačen učinek, kot na primer sprememba razmerja velikosti kamnov, barve osrednjega kamna oziroma načina </w:t>
      </w:r>
      <w:proofErr w:type="spellStart"/>
      <w:r w:rsidRPr="00BD3DDF">
        <w:t>vkovanja</w:t>
      </w:r>
      <w:proofErr w:type="spellEnd"/>
      <w:r w:rsidRPr="00BD3DDF">
        <w:t>. Za druge linije pa je sodišče ugotovilo, da niso avtorskopravno varovane. To so bile linije, ki so na primer vključevale idejo dveh rink, ki ju povezuje osrednji kamen (</w:t>
      </w:r>
      <w:proofErr w:type="spellStart"/>
      <w:r w:rsidRPr="00BD3DDF">
        <w:t>double</w:t>
      </w:r>
      <w:proofErr w:type="spellEnd"/>
      <w:r w:rsidRPr="00BD3DDF">
        <w:t xml:space="preserve"> band), vzorček pod kamnom (</w:t>
      </w:r>
      <w:proofErr w:type="spellStart"/>
      <w:r w:rsidRPr="00BD3DDF">
        <w:t>hexagon</w:t>
      </w:r>
      <w:proofErr w:type="spellEnd"/>
      <w:r w:rsidRPr="00BD3DDF">
        <w:t xml:space="preserve"> </w:t>
      </w:r>
      <w:proofErr w:type="spellStart"/>
      <w:r w:rsidRPr="00BD3DDF">
        <w:t>saphire</w:t>
      </w:r>
      <w:proofErr w:type="spellEnd"/>
      <w:r w:rsidRPr="00BD3DDF">
        <w:t xml:space="preserve">), surov diamant s štirimi </w:t>
      </w:r>
      <w:proofErr w:type="spellStart"/>
      <w:r w:rsidRPr="00BD3DDF">
        <w:t>krapni</w:t>
      </w:r>
      <w:proofErr w:type="spellEnd"/>
      <w:r w:rsidRPr="00BD3DDF">
        <w:t xml:space="preserve"> (</w:t>
      </w:r>
      <w:proofErr w:type="spellStart"/>
      <w:r w:rsidRPr="00BD3DDF">
        <w:t>raw</w:t>
      </w:r>
      <w:proofErr w:type="spellEnd"/>
      <w:r w:rsidRPr="00BD3DDF">
        <w:t xml:space="preserve"> </w:t>
      </w:r>
      <w:proofErr w:type="spellStart"/>
      <w:r w:rsidRPr="00BD3DDF">
        <w:t>diamond</w:t>
      </w:r>
      <w:proofErr w:type="spellEnd"/>
      <w:r w:rsidRPr="00BD3DDF">
        <w:t xml:space="preserve">), geometrično rezani </w:t>
      </w:r>
      <w:proofErr w:type="spellStart"/>
      <w:r w:rsidRPr="00BD3DDF">
        <w:t>moss</w:t>
      </w:r>
      <w:proofErr w:type="spellEnd"/>
      <w:r w:rsidRPr="00BD3DDF">
        <w:t xml:space="preserve"> </w:t>
      </w:r>
      <w:proofErr w:type="spellStart"/>
      <w:r w:rsidRPr="00BD3DDF">
        <w:t>agate</w:t>
      </w:r>
      <w:proofErr w:type="spellEnd"/>
      <w:r w:rsidRPr="00BD3DDF">
        <w:t xml:space="preserve"> kamni. Sodišče je pri tem ugotovilo, da so toženci zavedno ali nezavedno sledili tožničinim modelom, </w:t>
      </w:r>
      <w:r w:rsidR="00230B8E" w:rsidRPr="00BD3DDF">
        <w:t>vendar</w:t>
      </w:r>
      <w:r w:rsidRPr="00BD3DDF">
        <w:t xml:space="preserve"> so jih tožničina dela samo navdihovala. Zato ni šlo za predelavo niti za prevzem tujega dela, temveč za njegovo prosto uporabo. Sodišče je zavrnilo zahtevek iz naslova nelojalne konkurence, kar zaradi jasnega označevanja izdelkov z drugim imenom ni bilo zmede glede izvora prstanov. Zavrnilo je tudi zahtevek iz naslova kršitve poslovne skrivnosti, ker tožnica knjižice modelov prstanov ter podatkov o načinih prodaje in mrežah dobaviteljev ni označila kot poslovno skrivnost. Sodišče pa je v </w:t>
      </w:r>
      <w:r w:rsidR="00230B8E" w:rsidRPr="00BD3DDF">
        <w:t>c</w:t>
      </w:r>
      <w:r w:rsidRPr="00BD3DDF">
        <w:t xml:space="preserve">eloti zavrnilo tožbo zoper direktorja in lastnika toženega podjetja, ker je ugotovilo, da slednji ni prejemal plačil na osebni račun, zgolj zato, ker je bil toženkin direktor, pa za kršitve avtorskih pravic še ne odgovarja. Ugotovilo pa je, da sta avtorske pravice kršila tožničina nekdanja zaposlena, ker sta imela odločilno vlogo pri izdelavi, prodaji in trženju izdelkov prve toženke. Sodišče je zavrnilo zahtevek po nasprotni tožbi, ker tožničina prijava na </w:t>
      </w:r>
      <w:proofErr w:type="spellStart"/>
      <w:r w:rsidRPr="00BD3DDF">
        <w:t>Etsy</w:t>
      </w:r>
      <w:proofErr w:type="spellEnd"/>
      <w:r w:rsidRPr="00BD3DDF">
        <w:t xml:space="preserve"> ni bila očitno neutemeljena in je zat</w:t>
      </w:r>
      <w:r w:rsidR="00230B8E" w:rsidRPr="00BD3DDF">
        <w:t>o</w:t>
      </w:r>
      <w:r w:rsidRPr="00BD3DDF">
        <w:t xml:space="preserve"> ni bilo mogoče označiti kot zlorabo.</w:t>
      </w:r>
    </w:p>
    <w:p w:rsidR="00204CB6" w:rsidRPr="00BD3DDF" w:rsidRDefault="00204CB6" w:rsidP="00E6435B">
      <w:pPr>
        <w:ind w:left="720"/>
      </w:pPr>
      <w:r w:rsidRPr="00BD3DDF">
        <w:t xml:space="preserve"> Višje sodišče je pritožbo pravdnih strank zavrnilo</w:t>
      </w:r>
      <w:r w:rsidR="006923F4" w:rsidRPr="00BD3DDF">
        <w:t xml:space="preserve"> in potrdilo navedena stališča prvostopenjskega sodišča.</w:t>
      </w:r>
      <w:r w:rsidRPr="00BD3DDF">
        <w:tab/>
      </w:r>
    </w:p>
    <w:p w:rsidR="00E41E7C" w:rsidRDefault="00E41E7C" w:rsidP="00204CB6">
      <w:pPr>
        <w:rPr>
          <w:b/>
          <w:bCs/>
        </w:rPr>
      </w:pPr>
    </w:p>
    <w:p w:rsidR="00204CB6" w:rsidRPr="00BD3DDF" w:rsidRDefault="00E6435B" w:rsidP="00204CB6">
      <w:pPr>
        <w:rPr>
          <w:b/>
          <w:bCs/>
        </w:rPr>
      </w:pPr>
      <w:r w:rsidRPr="00BD3DDF">
        <w:rPr>
          <w:b/>
          <w:bCs/>
        </w:rPr>
        <w:lastRenderedPageBreak/>
        <w:t>Komentar:</w:t>
      </w:r>
    </w:p>
    <w:p w:rsidR="00E6435B" w:rsidRPr="00BD3DDF" w:rsidRDefault="00204CB6" w:rsidP="00E6435B">
      <w:pPr>
        <w:ind w:left="720"/>
      </w:pPr>
      <w:r w:rsidRPr="00BD3DDF">
        <w:t xml:space="preserve">Gre za pomembno sodbo z več vidikov: </w:t>
      </w:r>
    </w:p>
    <w:p w:rsidR="00E6435B" w:rsidRPr="00BD3DDF" w:rsidRDefault="00204CB6" w:rsidP="00E6435B">
      <w:pPr>
        <w:pStyle w:val="Odstavekseznama"/>
        <w:numPr>
          <w:ilvl w:val="1"/>
          <w:numId w:val="14"/>
        </w:numPr>
      </w:pPr>
      <w:r w:rsidRPr="00BD3DDF">
        <w:t xml:space="preserve">kako ugotavljati obstoj avtorskega dela pri vsakodnevnih, s tehničnimi zahtevami omejenih izdelkih, kot so prstani, </w:t>
      </w:r>
    </w:p>
    <w:p w:rsidR="00E6435B" w:rsidRPr="00BD3DDF" w:rsidRDefault="00204CB6" w:rsidP="00E6435B">
      <w:pPr>
        <w:pStyle w:val="Odstavekseznama"/>
        <w:numPr>
          <w:ilvl w:val="1"/>
          <w:numId w:val="14"/>
        </w:numPr>
      </w:pPr>
      <w:r w:rsidRPr="00BD3DDF">
        <w:t xml:space="preserve">kako v takem primeru ugotavljati kršitve pravice predelave, </w:t>
      </w:r>
    </w:p>
    <w:p w:rsidR="00E6435B" w:rsidRPr="00BD3DDF" w:rsidRDefault="00204CB6" w:rsidP="00E6435B">
      <w:pPr>
        <w:pStyle w:val="Odstavekseznama"/>
        <w:numPr>
          <w:ilvl w:val="1"/>
          <w:numId w:val="14"/>
        </w:numPr>
      </w:pPr>
      <w:r w:rsidRPr="00BD3DDF">
        <w:t xml:space="preserve">kdo in pod kakšnimi pogoji odgovarja za kršitve avtorskih pravic, ki se zgodijo v okviru dejavnosti podjetja, </w:t>
      </w:r>
    </w:p>
    <w:p w:rsidR="00E6435B" w:rsidRPr="00BD3DDF" w:rsidRDefault="00204CB6" w:rsidP="00E6435B">
      <w:pPr>
        <w:pStyle w:val="Odstavekseznama"/>
        <w:numPr>
          <w:ilvl w:val="1"/>
          <w:numId w:val="14"/>
        </w:numPr>
      </w:pPr>
      <w:r w:rsidRPr="00BD3DDF">
        <w:t xml:space="preserve">ugoditev zahtevku za objavo sodbe ne samo v slovenskem, temveč tudi v angleškem jeziku, kar zagotavlja čezmejno sodno varstvo, </w:t>
      </w:r>
    </w:p>
    <w:p w:rsidR="00E6435B" w:rsidRPr="00BD3DDF" w:rsidRDefault="00204CB6" w:rsidP="00E6435B">
      <w:pPr>
        <w:pStyle w:val="Odstavekseznama"/>
        <w:numPr>
          <w:ilvl w:val="1"/>
          <w:numId w:val="14"/>
        </w:numPr>
      </w:pPr>
      <w:r w:rsidRPr="00BD3DDF">
        <w:t xml:space="preserve">zahteva za izrecno označitev poslovnih dokumentov kot poslovnih skrivnosti, če podjetje želi uveljavljati varstvo po Zakonu o poslovni skrivnosti, ter </w:t>
      </w:r>
    </w:p>
    <w:p w:rsidR="00204CB6" w:rsidRPr="00BD3DDF" w:rsidRDefault="00204CB6" w:rsidP="00E6435B">
      <w:pPr>
        <w:pStyle w:val="Odstavekseznama"/>
        <w:numPr>
          <w:ilvl w:val="1"/>
          <w:numId w:val="14"/>
        </w:numPr>
      </w:pPr>
      <w:r w:rsidRPr="00BD3DDF">
        <w:t>obrazložitev pogojev za ugotovitev protipravnosti prijave kršitev na spletnih platformah.</w:t>
      </w:r>
    </w:p>
    <w:p w:rsidR="00204CB6" w:rsidRPr="00BD3DDF" w:rsidRDefault="00204CB6" w:rsidP="00204CB6">
      <w:pPr>
        <w:rPr>
          <w:rFonts w:ascii="Calibri" w:eastAsia="Times New Roman" w:hAnsi="Calibri" w:cs="Calibri"/>
          <w:color w:val="000000"/>
          <w:sz w:val="22"/>
          <w:szCs w:val="22"/>
          <w:lang w:eastAsia="en-GB"/>
        </w:rPr>
      </w:pPr>
    </w:p>
    <w:p w:rsidR="00204CB6" w:rsidRPr="00BD3DDF" w:rsidRDefault="004A2CA8" w:rsidP="004A2CA8">
      <w:pPr>
        <w:pStyle w:val="Naslov4"/>
      </w:pPr>
      <w:bookmarkStart w:id="76" w:name="_Toc227678373"/>
      <w:bookmarkStart w:id="77" w:name="_Hlk227675024"/>
      <w:r w:rsidRPr="00BD3DDF">
        <w:rPr>
          <w:rFonts w:eastAsia="Times New Roman"/>
          <w:lang w:eastAsia="en-GB"/>
        </w:rPr>
        <w:t>VSL Sklep I Cp 1697/2025 z dne 7. oktobra 2025</w:t>
      </w:r>
      <w:bookmarkEnd w:id="76"/>
    </w:p>
    <w:bookmarkEnd w:id="77"/>
    <w:p w:rsidR="008A1545" w:rsidRPr="00BD3DDF" w:rsidRDefault="008A1545" w:rsidP="00204CB6">
      <w:pPr>
        <w:rPr>
          <w:b/>
          <w:bCs/>
        </w:rPr>
      </w:pPr>
      <w:r w:rsidRPr="00BD3DDF">
        <w:rPr>
          <w:b/>
          <w:bCs/>
        </w:rPr>
        <w:t>Nacionalno pravo:</w:t>
      </w:r>
    </w:p>
    <w:p w:rsidR="008A1545" w:rsidRPr="00BD3DDF" w:rsidRDefault="008A1545" w:rsidP="008A1545">
      <w:pPr>
        <w:ind w:left="720"/>
      </w:pPr>
      <w:r w:rsidRPr="00BD3DDF">
        <w:t>Člen 16 ZASP: »Moralne avtorske pravice varujejo avtorja glede njegovih duhovnih in osebnih vezi do dela.</w:t>
      </w:r>
      <w:r w:rsidR="006923F4" w:rsidRPr="00BD3DDF">
        <w:t>«</w:t>
      </w:r>
    </w:p>
    <w:p w:rsidR="008A1545" w:rsidRPr="00BD3DDF" w:rsidRDefault="008A1545" w:rsidP="008A1545">
      <w:pPr>
        <w:ind w:left="720"/>
      </w:pPr>
      <w:r w:rsidRPr="00BD3DDF">
        <w:t>Začasne odredbe ureja 170. člen ZASP. Sodišče izda začasno odredbo v zavarovanje nedenarnih zahtevkov po tem zakonu, če upravičenec izkaže za verjetno, da je imetnik pravice iz tega zakona in da je bila njegova pravica kršena ali grozi dejanska nevarnost, da bo kršena. Upravičenec mora za verjetno izkazati tudi eno izmed naslednjih predpostavk: 1. nevarnost, da bo uveljavitev zahtevkov onemogočena ali precej otežena; 2. da je odredba potrebna, da se prepreči nastanek težko nadomestljive škode ali 3. da domnevni kršilec z izdajo začasne odredbe, če bi se tekom postopka izkazala za neutemeljeno, ne bi utrpel hujših neugodnih posledic od tistih, ki bi brez izdaje začasne odredbe nastale upravičencu.</w:t>
      </w:r>
    </w:p>
    <w:p w:rsidR="00E41E7C" w:rsidRDefault="00E41E7C" w:rsidP="00204CB6">
      <w:pPr>
        <w:rPr>
          <w:b/>
          <w:bCs/>
        </w:rPr>
      </w:pPr>
    </w:p>
    <w:p w:rsidR="004A2CA8" w:rsidRPr="00BD3DDF" w:rsidRDefault="004A2CA8" w:rsidP="00204CB6">
      <w:pPr>
        <w:rPr>
          <w:b/>
          <w:bCs/>
        </w:rPr>
      </w:pPr>
      <w:r w:rsidRPr="00BD3DDF">
        <w:rPr>
          <w:b/>
          <w:bCs/>
        </w:rPr>
        <w:lastRenderedPageBreak/>
        <w:t>Dejansko stanje:</w:t>
      </w:r>
    </w:p>
    <w:p w:rsidR="004A2CA8" w:rsidRPr="00BD3DDF" w:rsidRDefault="00204CB6" w:rsidP="004A2CA8">
      <w:pPr>
        <w:ind w:left="720"/>
      </w:pPr>
      <w:r w:rsidRPr="00BD3DDF">
        <w:t>Upnika zatrjujeta, da bosta vložila tožbo zaradi sodnega varstva njune moralne avtorske pravice. Sta avtorja prevodov prve in druge knjige od treh iz zbirke "A.". Dolžnik, ki je založnik te zbirke, oglašuje, da sta vse tri knjige prevedla upnika, ki sta eminentna prevajalca iz arabskega jezika, in to skupaj z imeni prevajalcev tretje knjige, ki nimajo nobenega renomeja ter katerih prevodi so bistveno drugačne kakovosti. Dolžnik upnika označuje tudi kot prevajalca in avtorja dodatnega besedila, ki ga nista napisala. Zaradi izdaje vseh treh knjig, njihovega trženja, prodaje ter posledične zasičenosti slovenskega trga ne bosta imela nobene možnosti, da bi svoj prevod tretje knjige prodala katerikoli drugi založbi. Predlagata, da sodišče zaradi preprečitve skazitve in uničenja njunega avtorskega dela še pred uvedbo sodnega postopka izda začasno odredbo, s katero naj dolžniku prepove vsakršno oglaševanje, distribucijo, trženje, novo izdajo (razen bibliofilske izdaje v 49 izvodih ter dotisa druge knjige v nakladi 151 luksuznih izvodov), ponatis prve knjige in vsako posredovanje prve in druge knjige ter celotne zbirke "A." tretjim osebam. Za primer kršitve obveznosti, določene s to začasno odredbo, predlagata določitev denarne kazni v višini 50.000 EUR</w:t>
      </w:r>
      <w:r w:rsidR="004A2CA8" w:rsidRPr="00BD3DDF">
        <w:t>.</w:t>
      </w:r>
    </w:p>
    <w:p w:rsidR="00204CB6" w:rsidRPr="00BD3DDF" w:rsidRDefault="004A2CA8" w:rsidP="004A2CA8">
      <w:pPr>
        <w:rPr>
          <w:b/>
          <w:bCs/>
        </w:rPr>
      </w:pPr>
      <w:r w:rsidRPr="00BD3DDF">
        <w:rPr>
          <w:b/>
          <w:bCs/>
        </w:rPr>
        <w:t>Odločitev sodišč:</w:t>
      </w:r>
      <w:r w:rsidR="00204CB6" w:rsidRPr="00BD3DDF">
        <w:rPr>
          <w:b/>
          <w:bCs/>
        </w:rPr>
        <w:tab/>
      </w:r>
    </w:p>
    <w:p w:rsidR="00204CB6" w:rsidRPr="00BD3DDF" w:rsidRDefault="00204CB6" w:rsidP="004A2CA8">
      <w:pPr>
        <w:ind w:left="720"/>
      </w:pPr>
      <w:r w:rsidRPr="00BD3DDF">
        <w:t>Sodišče je predlog za izdajo začasne odredbe zavrnilo. Pojasnilo je, da želita upnika s predlagano začasno odredbo preprečiti zasičenje trga, zaradi katerega ne bi mogla prodati svojega prevoda. S tožbo, ki jo nameravata vložiti, pa želita preprečiti skazitev njunega dela - z oglaševanjem skupaj z imeni prevajalcev brez renomeja ter označevanjem, da sta prevajalca in avtorja dodatnega besedila. Zato se izkaže, da predlagana izdaja začasne odredbe ne more doseči svojega namena, saj nedenarne terjatve za preprečitev skazitve dela ne zavaruje.</w:t>
      </w:r>
      <w:r w:rsidR="004A2CA8" w:rsidRPr="00BD3DDF">
        <w:t xml:space="preserve"> Višje sodišče je na</w:t>
      </w:r>
      <w:r w:rsidR="00230B8E" w:rsidRPr="00BD3DDF">
        <w:t>ved</w:t>
      </w:r>
      <w:r w:rsidR="004A2CA8" w:rsidRPr="00BD3DDF">
        <w:t>eno odločitev potrdilo.</w:t>
      </w:r>
      <w:r w:rsidRPr="00BD3DDF">
        <w:tab/>
      </w:r>
    </w:p>
    <w:p w:rsidR="00204CB6" w:rsidRPr="00BD3DDF" w:rsidRDefault="004A2CA8" w:rsidP="00204CB6">
      <w:pPr>
        <w:rPr>
          <w:b/>
          <w:bCs/>
        </w:rPr>
      </w:pPr>
      <w:r w:rsidRPr="00BD3DDF">
        <w:rPr>
          <w:b/>
          <w:bCs/>
        </w:rPr>
        <w:t>Komentar:</w:t>
      </w:r>
    </w:p>
    <w:p w:rsidR="00204CB6" w:rsidRPr="00BD3DDF" w:rsidRDefault="00204CB6" w:rsidP="004A2CA8">
      <w:pPr>
        <w:ind w:left="720"/>
      </w:pPr>
      <w:r w:rsidRPr="00BD3DDF">
        <w:t>Sklep sodišča je pomemben z vidika zahteve po povezavi med predlagano začasno odredbo in kasneje vloženo tožbo.</w:t>
      </w:r>
    </w:p>
    <w:p w:rsidR="00204CB6" w:rsidRPr="00BD3DDF" w:rsidRDefault="00204CB6" w:rsidP="00204CB6"/>
    <w:p w:rsidR="00204CB6" w:rsidRPr="00BD3DDF" w:rsidRDefault="001D5FCF" w:rsidP="006A1CE2">
      <w:pPr>
        <w:pStyle w:val="Naslov4"/>
      </w:pPr>
      <w:bookmarkStart w:id="78" w:name="_Toc227678374"/>
      <w:bookmarkStart w:id="79" w:name="_Hlk227675058"/>
      <w:r w:rsidRPr="00BD3DDF">
        <w:rPr>
          <w:rFonts w:eastAsia="Times New Roman"/>
          <w:lang w:eastAsia="en-GB"/>
        </w:rPr>
        <w:t>VSL Sklep V Cpg 272/2025</w:t>
      </w:r>
      <w:r w:rsidR="006A1CE2" w:rsidRPr="00BD3DDF">
        <w:rPr>
          <w:rFonts w:eastAsia="Times New Roman"/>
          <w:lang w:eastAsia="en-GB"/>
        </w:rPr>
        <w:t xml:space="preserve"> z dne 10. julija 2025</w:t>
      </w:r>
      <w:bookmarkEnd w:id="78"/>
    </w:p>
    <w:bookmarkEnd w:id="79"/>
    <w:p w:rsidR="008B3273" w:rsidRPr="00BD3DDF" w:rsidRDefault="008B3273" w:rsidP="00204CB6">
      <w:pPr>
        <w:rPr>
          <w:b/>
          <w:bCs/>
        </w:rPr>
      </w:pPr>
      <w:r w:rsidRPr="00BD3DDF">
        <w:rPr>
          <w:b/>
          <w:bCs/>
        </w:rPr>
        <w:t>Nacionalno pravo in pravo EU:</w:t>
      </w:r>
    </w:p>
    <w:p w:rsidR="008B3273" w:rsidRPr="00BD3DDF" w:rsidRDefault="008B3273" w:rsidP="00204CB6">
      <w:r w:rsidRPr="00BD3DDF">
        <w:rPr>
          <w:b/>
          <w:bCs/>
        </w:rPr>
        <w:tab/>
      </w:r>
      <w:r w:rsidRPr="00BD3DDF">
        <w:t>Glej podpoglavje 2.2.2.2.</w:t>
      </w:r>
    </w:p>
    <w:p w:rsidR="006A1CE2" w:rsidRPr="00BD3DDF" w:rsidRDefault="006A1CE2" w:rsidP="00204CB6">
      <w:pPr>
        <w:rPr>
          <w:b/>
          <w:bCs/>
        </w:rPr>
      </w:pPr>
      <w:r w:rsidRPr="00BD3DDF">
        <w:rPr>
          <w:b/>
          <w:bCs/>
        </w:rPr>
        <w:t>Dejansko stanje:</w:t>
      </w:r>
    </w:p>
    <w:p w:rsidR="006A1CE2" w:rsidRPr="00BD3DDF" w:rsidRDefault="00204CB6" w:rsidP="006A1CE2">
      <w:pPr>
        <w:ind w:left="720"/>
      </w:pPr>
      <w:r w:rsidRPr="00BD3DDF">
        <w:t xml:space="preserve">Tožeča stranka je predlagala izdajo začasne odredbe zaradi kršitve avtorske pravice na zunanji podobi in industrijskem oblikovanju igralnih naprav </w:t>
      </w:r>
      <w:proofErr w:type="spellStart"/>
      <w:r w:rsidRPr="00BD3DDF">
        <w:t>Universal</w:t>
      </w:r>
      <w:proofErr w:type="spellEnd"/>
      <w:r w:rsidRPr="00BD3DDF">
        <w:t xml:space="preserve"> </w:t>
      </w:r>
      <w:proofErr w:type="spellStart"/>
      <w:r w:rsidRPr="00BD3DDF">
        <w:t>Cabinet</w:t>
      </w:r>
      <w:proofErr w:type="spellEnd"/>
      <w:r w:rsidRPr="00BD3DDF">
        <w:t xml:space="preserve">. </w:t>
      </w:r>
    </w:p>
    <w:p w:rsidR="00204CB6" w:rsidRPr="00BD3DDF" w:rsidRDefault="00204CB6" w:rsidP="00204CB6">
      <w:r w:rsidRPr="00BD3DDF">
        <w:tab/>
      </w:r>
      <w:r w:rsidR="006A1CE2" w:rsidRPr="00BD3DDF">
        <w:rPr>
          <w:noProof/>
          <w:lang w:eastAsia="sl-SI"/>
        </w:rPr>
        <w:drawing>
          <wp:inline distT="0" distB="0" distL="0" distR="0" wp14:anchorId="32B78421" wp14:editId="7542B6BD">
            <wp:extent cx="4749800" cy="2236935"/>
            <wp:effectExtent l="0" t="0" r="0" b="0"/>
            <wp:docPr id="6056218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21847" name="Picture 60562184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78155" cy="2250289"/>
                    </a:xfrm>
                    <a:prstGeom prst="rect">
                      <a:avLst/>
                    </a:prstGeom>
                  </pic:spPr>
                </pic:pic>
              </a:graphicData>
            </a:graphic>
          </wp:inline>
        </w:drawing>
      </w:r>
    </w:p>
    <w:p w:rsidR="006A1CE2" w:rsidRPr="00BD3DDF" w:rsidRDefault="006A1CE2" w:rsidP="006A1CE2">
      <w:pPr>
        <w:ind w:firstLine="720"/>
      </w:pPr>
      <w:r w:rsidRPr="00BD3DDF">
        <w:t>Slika 12: igralniški sistem »</w:t>
      </w:r>
      <w:proofErr w:type="spellStart"/>
      <w:r w:rsidRPr="00BD3DDF">
        <w:t>Universal</w:t>
      </w:r>
      <w:proofErr w:type="spellEnd"/>
      <w:r w:rsidRPr="00BD3DDF">
        <w:t xml:space="preserve"> </w:t>
      </w:r>
      <w:proofErr w:type="spellStart"/>
      <w:r w:rsidRPr="00BD3DDF">
        <w:t>cabinet</w:t>
      </w:r>
      <w:proofErr w:type="spellEnd"/>
      <w:r w:rsidRPr="00BD3DDF">
        <w:t>«.</w:t>
      </w:r>
    </w:p>
    <w:p w:rsidR="00E41E7C" w:rsidRDefault="00E41E7C" w:rsidP="00204CB6">
      <w:pPr>
        <w:rPr>
          <w:b/>
          <w:bCs/>
        </w:rPr>
      </w:pPr>
    </w:p>
    <w:p w:rsidR="006A1CE2" w:rsidRPr="00BD3DDF" w:rsidRDefault="006A1CE2" w:rsidP="00204CB6">
      <w:pPr>
        <w:rPr>
          <w:b/>
          <w:bCs/>
        </w:rPr>
      </w:pPr>
      <w:r w:rsidRPr="00BD3DDF">
        <w:rPr>
          <w:b/>
          <w:bCs/>
        </w:rPr>
        <w:t>Odločitev sodišč:</w:t>
      </w:r>
    </w:p>
    <w:p w:rsidR="00204CB6" w:rsidRPr="00BD3DDF" w:rsidRDefault="006A1CE2" w:rsidP="006A1CE2">
      <w:pPr>
        <w:ind w:left="720"/>
      </w:pPr>
      <w:r w:rsidRPr="00BD3DDF">
        <w:t>Sodišče prve stopnje je predlog zavrnilo</w:t>
      </w:r>
      <w:r w:rsidR="00A52D68" w:rsidRPr="00BD3DDF">
        <w:t xml:space="preserve">, ker tožničine stvaritve ni štelo </w:t>
      </w:r>
      <w:r w:rsidR="00BD3DDF" w:rsidRPr="00BD3DDF">
        <w:t>z</w:t>
      </w:r>
      <w:r w:rsidR="00A52D68" w:rsidRPr="00BD3DDF">
        <w:t>a avtorsko delo.</w:t>
      </w:r>
      <w:r w:rsidRPr="00BD3DDF">
        <w:t xml:space="preserve"> Tožnica je sodišču prve stopnje očitala, da ni upoštevalo, da menjava iger na posameznem kabinetu do zdaj ni bila mogoča, ne pri tožeči stranki ne pri konkurenci, saj je šele edinstvena zasnova industrijskega oblikovanja </w:t>
      </w:r>
      <w:proofErr w:type="spellStart"/>
      <w:r w:rsidRPr="00BD3DDF">
        <w:t>Universal</w:t>
      </w:r>
      <w:proofErr w:type="spellEnd"/>
      <w:r w:rsidRPr="00BD3DDF">
        <w:t xml:space="preserve"> </w:t>
      </w:r>
      <w:proofErr w:type="spellStart"/>
      <w:r w:rsidRPr="00BD3DDF">
        <w:t>Cabinet</w:t>
      </w:r>
      <w:proofErr w:type="spellEnd"/>
      <w:r w:rsidRPr="00BD3DDF">
        <w:t xml:space="preserve"> omogočila hitro in enostavno spreminjanje iger na način, da se zamenja "</w:t>
      </w:r>
      <w:proofErr w:type="spellStart"/>
      <w:r w:rsidRPr="00BD3DDF">
        <w:t>topper</w:t>
      </w:r>
      <w:proofErr w:type="spellEnd"/>
      <w:r w:rsidRPr="00BD3DDF">
        <w:t>".</w:t>
      </w:r>
    </w:p>
    <w:p w:rsidR="00204CB6" w:rsidRPr="00BD3DDF" w:rsidRDefault="00204CB6" w:rsidP="006A1CE2">
      <w:pPr>
        <w:ind w:left="720"/>
      </w:pPr>
      <w:r w:rsidRPr="00BD3DDF">
        <w:lastRenderedPageBreak/>
        <w:t xml:space="preserve">Višje sodišče je tožničino pritožbo zavrnilo. Pojasnilo je, da da merilu izvirnosti ne morejo zadostiti posamezni elementi igralne naprave, za katere je značilna le njihova tehnična funkcija. Če namreč stvaritev posameznih elementov narekujejo tehnični preudarki, ki ne puščajo prostora za ustvarjalno svobodo, ali je ta prostor tako omejen, da ni mogoče razlikovati med idejo in izrazom, ni mogoče šteti, da takšen element izkazuje izvirnost avtorskega dela. To merilo bi veljalo za izpolnjeno, v kolikor bi tožeča stranka podala navedbe in dokaze, ki bi verjetno izkazali, da koncepta menjave </w:t>
      </w:r>
      <w:proofErr w:type="spellStart"/>
      <w:r w:rsidRPr="00BD3DDF">
        <w:t>topperjev</w:t>
      </w:r>
      <w:proofErr w:type="spellEnd"/>
      <w:r w:rsidRPr="00BD3DDF">
        <w:t xml:space="preserve"> niso narekovali tehnični preudarki oziroma ji ti niso preprečili, da je svojo ustvarjalnost izrazila s svobodnimi in ustvarjalnimi izbirami ter ustvarila presežek na področju industrijskega oblikovanja. Tega tožnica ni izkazala, saj iz navedb in dokazov, ki jih je podala, ne izhaja, da je koncept menjave </w:t>
      </w:r>
      <w:proofErr w:type="spellStart"/>
      <w:r w:rsidRPr="00BD3DDF">
        <w:t>topperjev</w:t>
      </w:r>
      <w:proofErr w:type="spellEnd"/>
      <w:r w:rsidRPr="00BD3DDF">
        <w:t xml:space="preserve"> odraz njene ustvarjalnosti in pomeni svojevrstno, inovativno in samosvojo rešitev in ne zgolj drugačne tehnične izvedbe že videnega. </w:t>
      </w:r>
    </w:p>
    <w:p w:rsidR="00204CB6" w:rsidRPr="00BD3DDF" w:rsidRDefault="006A1CE2" w:rsidP="00204CB6">
      <w:pPr>
        <w:rPr>
          <w:b/>
          <w:bCs/>
        </w:rPr>
      </w:pPr>
      <w:r w:rsidRPr="00BD3DDF">
        <w:rPr>
          <w:b/>
          <w:bCs/>
        </w:rPr>
        <w:t>Komentar:</w:t>
      </w:r>
    </w:p>
    <w:p w:rsidR="00204CB6" w:rsidRPr="00BD3DDF" w:rsidRDefault="00204CB6" w:rsidP="006A1CE2">
      <w:pPr>
        <w:ind w:left="720"/>
      </w:pPr>
      <w:r w:rsidRPr="00BD3DDF">
        <w:t>Sodišče se v odločitvi sklicuje na sodbe SEU</w:t>
      </w:r>
      <w:r w:rsidR="00230B8E" w:rsidRPr="00BD3DDF">
        <w:t xml:space="preserve"> </w:t>
      </w:r>
      <w:r w:rsidR="00230B8E" w:rsidRPr="00BD3DDF">
        <w:rPr>
          <w:rFonts w:eastAsia="Times New Roman" w:cs="Times New Roman"/>
          <w:color w:val="000000" w:themeColor="text1"/>
          <w:szCs w:val="24"/>
          <w:lang w:eastAsia="en-GB"/>
        </w:rPr>
        <w:t xml:space="preserve">v zadevah </w:t>
      </w:r>
      <w:proofErr w:type="spellStart"/>
      <w:r w:rsidRPr="00BD3DDF">
        <w:rPr>
          <w:i/>
        </w:rPr>
        <w:t>Brompton</w:t>
      </w:r>
      <w:proofErr w:type="spellEnd"/>
      <w:r w:rsidRPr="00BD3DDF">
        <w:rPr>
          <w:i/>
        </w:rPr>
        <w:t xml:space="preserve"> </w:t>
      </w:r>
      <w:proofErr w:type="spellStart"/>
      <w:r w:rsidRPr="00BD3DDF">
        <w:rPr>
          <w:i/>
        </w:rPr>
        <w:t>Bicycle</w:t>
      </w:r>
      <w:proofErr w:type="spellEnd"/>
      <w:r w:rsidRPr="00BD3DDF">
        <w:t xml:space="preserve">, </w:t>
      </w:r>
      <w:proofErr w:type="spellStart"/>
      <w:r w:rsidRPr="00BD3DDF">
        <w:rPr>
          <w:i/>
        </w:rPr>
        <w:t>Cofemel</w:t>
      </w:r>
      <w:proofErr w:type="spellEnd"/>
      <w:r w:rsidRPr="00BD3DDF">
        <w:rPr>
          <w:i/>
        </w:rPr>
        <w:t xml:space="preserve">, </w:t>
      </w:r>
      <w:proofErr w:type="spellStart"/>
      <w:r w:rsidRPr="00BD3DDF">
        <w:rPr>
          <w:i/>
        </w:rPr>
        <w:t>Painer</w:t>
      </w:r>
      <w:proofErr w:type="spellEnd"/>
      <w:r w:rsidRPr="00BD3DDF">
        <w:t xml:space="preserve"> in </w:t>
      </w:r>
      <w:bookmarkStart w:id="80" w:name="_Hlk227675153"/>
      <w:r w:rsidR="00230B8E" w:rsidRPr="00BD3DDF">
        <w:t xml:space="preserve">z dne 5. 10. 2009 v zadevi </w:t>
      </w:r>
      <w:r w:rsidRPr="00BD3DDF">
        <w:t>C-393/09</w:t>
      </w:r>
      <w:r w:rsidR="00230B8E" w:rsidRPr="00BD3DDF">
        <w:t>-</w:t>
      </w:r>
      <w:r w:rsidRPr="00BD3DDF">
        <w:rPr>
          <w:i/>
        </w:rPr>
        <w:t xml:space="preserve">Bezpečnostní </w:t>
      </w:r>
      <w:proofErr w:type="spellStart"/>
      <w:r w:rsidRPr="00BD3DDF">
        <w:rPr>
          <w:i/>
        </w:rPr>
        <w:t>softwarová</w:t>
      </w:r>
      <w:proofErr w:type="spellEnd"/>
      <w:r w:rsidRPr="00BD3DDF">
        <w:rPr>
          <w:i/>
        </w:rPr>
        <w:t xml:space="preserve"> </w:t>
      </w:r>
      <w:proofErr w:type="spellStart"/>
      <w:r w:rsidRPr="00BD3DDF">
        <w:rPr>
          <w:i/>
        </w:rPr>
        <w:t>asociace</w:t>
      </w:r>
      <w:bookmarkEnd w:id="80"/>
      <w:proofErr w:type="spellEnd"/>
      <w:r w:rsidRPr="00BD3DDF">
        <w:t>. Odločitev kaže na upošteva</w:t>
      </w:r>
      <w:r w:rsidR="005B215F" w:rsidRPr="00BD3DDF">
        <w:t>n</w:t>
      </w:r>
      <w:r w:rsidRPr="00BD3DDF">
        <w:t>je prakse SEU v slovenski sodni praksi.</w:t>
      </w:r>
    </w:p>
    <w:p w:rsidR="00204CB6" w:rsidRPr="00BD3DDF" w:rsidRDefault="00204CB6" w:rsidP="00204CB6"/>
    <w:p w:rsidR="00675D48" w:rsidRPr="00BD3DDF" w:rsidRDefault="00675D48" w:rsidP="00675D48">
      <w:pPr>
        <w:pStyle w:val="Naslov4"/>
        <w:rPr>
          <w:shd w:val="clear" w:color="auto" w:fill="FFFFFF"/>
        </w:rPr>
      </w:pPr>
      <w:bookmarkStart w:id="81" w:name="_Toc227678375"/>
      <w:bookmarkStart w:id="82" w:name="_Hlk227675216"/>
      <w:r w:rsidRPr="00BD3DDF">
        <w:rPr>
          <w:shd w:val="clear" w:color="auto" w:fill="FFFFFF"/>
        </w:rPr>
        <w:t>VSL Sodba in sklep II Cp 197/2024 z dne 31. julija 2025</w:t>
      </w:r>
      <w:bookmarkEnd w:id="81"/>
    </w:p>
    <w:bookmarkEnd w:id="82"/>
    <w:p w:rsidR="008B3273" w:rsidRPr="00BD3DDF" w:rsidRDefault="008B3273" w:rsidP="00204CB6">
      <w:pPr>
        <w:rPr>
          <w:b/>
          <w:bCs/>
        </w:rPr>
      </w:pPr>
      <w:r w:rsidRPr="00BD3DDF">
        <w:rPr>
          <w:b/>
          <w:bCs/>
        </w:rPr>
        <w:t xml:space="preserve">Nacionalno pravo: </w:t>
      </w:r>
    </w:p>
    <w:p w:rsidR="008B3273" w:rsidRPr="00BD3DDF" w:rsidRDefault="008B3273" w:rsidP="008B3273">
      <w:pPr>
        <w:ind w:left="720"/>
      </w:pPr>
      <w:r w:rsidRPr="00BD3DDF">
        <w:t>12. člen ZASP: »(1) Če je avtorsko delo, ki je bilo ustvarjeno v sodelovanju dveh ali več oseb, nedeljiva celota, pripada vsem soavtorjem nedeljiva avtorska pravica na tem delu. (2) Odločanje o uporabi takega dela pripada nerazdelno vsem soavtorjem, pri čemer posamezni soavtor tega ne sme preprečiti v nasprotju z načelom vestnosti in poštenja. (3) Deleži posameznih soavtorjev se določijo v sorazmerju z dejanskim prispevkom vsakega izmed njih k ustvaritvi avtorskega dela, če niso njihova medsebojna razmerja s pogodbo drugače določena.</w:t>
      </w:r>
    </w:p>
    <w:p w:rsidR="00204CB6" w:rsidRPr="00BD3DDF" w:rsidRDefault="00675D48" w:rsidP="00204CB6">
      <w:pPr>
        <w:rPr>
          <w:b/>
          <w:bCs/>
        </w:rPr>
      </w:pPr>
      <w:r w:rsidRPr="00BD3DDF">
        <w:rPr>
          <w:b/>
          <w:bCs/>
        </w:rPr>
        <w:t>Dejansko stanje:</w:t>
      </w:r>
    </w:p>
    <w:p w:rsidR="00204CB6" w:rsidRPr="00BD3DDF" w:rsidRDefault="00204CB6" w:rsidP="00675D48">
      <w:pPr>
        <w:ind w:left="720"/>
      </w:pPr>
      <w:r w:rsidRPr="00BD3DDF">
        <w:lastRenderedPageBreak/>
        <w:t xml:space="preserve">Tožnika sta v letu 1993 v reklamne namene ustvarila video posnetek, na katerem je </w:t>
      </w:r>
      <w:proofErr w:type="spellStart"/>
      <w:r w:rsidRPr="00BD3DDF">
        <w:t>Melania</w:t>
      </w:r>
      <w:proofErr w:type="spellEnd"/>
      <w:r w:rsidRPr="00BD3DDF">
        <w:t xml:space="preserve"> Trump, tedaj še manekenka, igrala predsednico ZDA. Prvi toženec, ki je izdajatelj TV medija, v je okviru reportaže, katere novinarka je bila druga toženka, 5. 11. 2016 objavil izseke video posnetka v informativni oddaji, z oznako, da gre za posnetek ameriške televizije. Tretja toženka je bila odgovorna urednica informativnega TV programa. Prvi toženec je objavil video posnetek tudi na svoji spletni strani. </w:t>
      </w:r>
    </w:p>
    <w:p w:rsidR="00204CB6" w:rsidRPr="00BD3DDF" w:rsidRDefault="00675D48" w:rsidP="00204CB6">
      <w:pPr>
        <w:rPr>
          <w:b/>
          <w:bCs/>
        </w:rPr>
      </w:pPr>
      <w:r w:rsidRPr="00BD3DDF">
        <w:rPr>
          <w:b/>
          <w:bCs/>
        </w:rPr>
        <w:t>Odločitev sodišč:</w:t>
      </w:r>
    </w:p>
    <w:p w:rsidR="00204CB6" w:rsidRPr="00BD3DDF" w:rsidRDefault="00204CB6" w:rsidP="00675D48">
      <w:pPr>
        <w:ind w:left="720"/>
      </w:pPr>
      <w:r w:rsidRPr="00BD3DDF">
        <w:t>Sodišče prve stopnje je z vmesno sodbo ugotovilo, da je zahtevek tožnikov za plačilo odškodnine in civilne kazni za kršitev avtorske pravice na avdiovizualnem delu po temelju utemeljen.</w:t>
      </w:r>
      <w:r w:rsidR="00A52D68" w:rsidRPr="00BD3DDF">
        <w:t xml:space="preserve"> </w:t>
      </w:r>
      <w:r w:rsidRPr="00BD3DDF">
        <w:t xml:space="preserve">Višje sodišče je pritožbo zavrnilo, razen v delu, ki se je nanašal na ugotovitev utemeljenosti civilne kazni. Pojasnilo je, da ni dvoma, da gre pri videoposnetku za zaporedje povezanih gibljivih slik z zvokom in materialnim nosilcem. Gre za duhovno stvaritev s področja ustvarjalnosti, konkretna rešitev načina predstavitve izdelkov pa ima izvirne, svojevrstne poteze (prisega, pozdravljanje množic, spremstvo s policijskimi vozili, prihod iz letala, podpisovanje dokumentov...). Delo avtorjev je zaznavno za človeške čute, saj se je manifestiralo v zunanjem svetu. Višje sodišče je tudi potrdilo stališče prvostopenjskega sodišča, da sta tožnika soavtorja video posnetka. Zamisel o vsebini video posnetka je bila tožničina, tožnica je napisala scenarij, predloge pri izvedbi scenarija pa je dajal tudi tožnik, ki je video posnetek režiral. Niti ni bistveno, ali se je zamisel realizirala šele in situ. Tožnica je v ustvarjalnem procesu sodelovala pretežno glede koncepta video posnetka, tožnik pa glede njegovega oblikovanja. </w:t>
      </w:r>
    </w:p>
    <w:p w:rsidR="00204CB6" w:rsidRPr="00BD3DDF" w:rsidRDefault="00204CB6" w:rsidP="00675D48">
      <w:pPr>
        <w:ind w:left="720"/>
      </w:pPr>
      <w:r w:rsidRPr="00BD3DDF">
        <w:t xml:space="preserve">Ob ugotovitvi, da v času nastanka video posnetka (v letu 1993) pri zadevni TV hiši področje avtorskih pravic (še) ni bilo urejeno ter da kakšnih pogodb z ustvarjalci predmetnega video posnetka niso našli, je Višje sodišče potrdilo tudi zaključek prvostopnega sodišča, da tožena stranka svoje teze o prenosu avtorskih pravic ni dokazala. Prav tako niso bili izpolnjeni pogoji za citat. V videoposnetku tožencev so bili prikazani in opisani ključni deli videoposnetka tožnikov, uporaba tako velikega dela video posnetka pa zaradi obveščanja javnosti o povezavi med igranjem Melanije </w:t>
      </w:r>
      <w:r w:rsidRPr="00BD3DDF">
        <w:lastRenderedPageBreak/>
        <w:t>Trump in kasnejše potencialne izvolitve njenega moža za predsednika ZDA ni bila nujna. Čeprav sta tožnika soavtorja in imata pravico kot taka varovati celotno delo, sta po 12. členu ZASP upravičena do pravičnega poplačila le v sorazmerju s svojim dejanskim prispevkom k delu. Ker so bili soavtorji videoposnetka tudi druge osebe, bo to moralo upoštevati sodišče pri določitvi višine odškodnine. Odločitev o civilni kazni pa je Višje sodišče razveljavilo, ker je prvostopenjsko sodišče ni obrazložilo.</w:t>
      </w:r>
    </w:p>
    <w:p w:rsidR="00204CB6" w:rsidRPr="00BD3DDF" w:rsidRDefault="006A64FB" w:rsidP="00204CB6">
      <w:pPr>
        <w:rPr>
          <w:b/>
          <w:bCs/>
        </w:rPr>
      </w:pPr>
      <w:r w:rsidRPr="00BD3DDF">
        <w:rPr>
          <w:b/>
          <w:bCs/>
        </w:rPr>
        <w:t>Komentar:</w:t>
      </w:r>
      <w:r w:rsidR="00204CB6" w:rsidRPr="00BD3DDF">
        <w:rPr>
          <w:b/>
          <w:bCs/>
        </w:rPr>
        <w:tab/>
      </w:r>
    </w:p>
    <w:p w:rsidR="00204CB6" w:rsidRPr="00BD3DDF" w:rsidRDefault="00204CB6" w:rsidP="006A64FB">
      <w:pPr>
        <w:ind w:left="720"/>
      </w:pPr>
      <w:r w:rsidRPr="00BD3DDF">
        <w:t xml:space="preserve">Sodba pojasnjuje razmerje med prejšnjim Zakonom o avtorski pravici (ZAP) in sedaj veljavnim Zakonom o avtorski in sorodnih pravicah (ZASP) z vidika varstva pravic na kinematografskih delih. </w:t>
      </w:r>
    </w:p>
    <w:p w:rsidR="006A64FB" w:rsidRPr="00BD3DDF" w:rsidRDefault="006A64FB" w:rsidP="00204CB6"/>
    <w:p w:rsidR="006A64FB" w:rsidRPr="00BD3DDF" w:rsidRDefault="006A64FB" w:rsidP="006A64FB">
      <w:pPr>
        <w:pStyle w:val="Naslov4"/>
      </w:pPr>
      <w:bookmarkStart w:id="83" w:name="_Toc227678376"/>
      <w:bookmarkStart w:id="84" w:name="_Hlk227675261"/>
      <w:r w:rsidRPr="00BD3DDF">
        <w:t>VSL Sodba I Cpg 148/2024 z dne 12. marca 2025</w:t>
      </w:r>
      <w:bookmarkEnd w:id="83"/>
    </w:p>
    <w:bookmarkEnd w:id="84"/>
    <w:p w:rsidR="009739A9" w:rsidRPr="00BD3DDF" w:rsidRDefault="009739A9" w:rsidP="00204CB6">
      <w:pPr>
        <w:rPr>
          <w:b/>
          <w:bCs/>
        </w:rPr>
      </w:pPr>
      <w:r w:rsidRPr="00BD3DDF">
        <w:rPr>
          <w:b/>
          <w:bCs/>
        </w:rPr>
        <w:t>Nacionalno pravo:</w:t>
      </w:r>
    </w:p>
    <w:p w:rsidR="009739A9" w:rsidRPr="00BD3DDF" w:rsidRDefault="009739A9" w:rsidP="009739A9">
      <w:pPr>
        <w:ind w:left="720"/>
      </w:pPr>
      <w:r w:rsidRPr="00BD3DDF">
        <w:t>Člen 80 ZASP: »(1) Pravni posli, s katerimi se prenašajo materialne avtorske pravice ali druge pravice avtorja ali dajejo dovoljenja, morajo biti v pisni obliki, če ni z zakonom drugače določeno. (2) Ob kršitvi prejšnjega odstavka se sporne ali nejasne določbe posla razlagajo v korist avtorja.«</w:t>
      </w:r>
    </w:p>
    <w:p w:rsidR="00204CB6" w:rsidRPr="00BD3DDF" w:rsidRDefault="006A64FB" w:rsidP="00204CB6">
      <w:pPr>
        <w:rPr>
          <w:b/>
          <w:bCs/>
        </w:rPr>
      </w:pPr>
      <w:r w:rsidRPr="00BD3DDF">
        <w:rPr>
          <w:b/>
          <w:bCs/>
        </w:rPr>
        <w:t>Dejansko stanje:</w:t>
      </w:r>
    </w:p>
    <w:p w:rsidR="00204CB6" w:rsidRPr="00BD3DDF" w:rsidRDefault="00204CB6" w:rsidP="006A64FB">
      <w:pPr>
        <w:ind w:left="720"/>
      </w:pPr>
      <w:r w:rsidRPr="00BD3DDF">
        <w:t>Tožnik zahteva plačilo za razvoj mobilne aplikacije na podlagi dogovora s toženko, ki je bil sklenjen preko elektronskih sporočil. Razvoj je trajal več mesecev. Toženka je nato 1. 4. 2021 potrdila verzijo kot dokončano, pri čemer je bilo potrebno le še nekaj manjših popravkov. Ob potrditvi zadnje verzije je zahtevala še izročitev izvorne kode, vendar je tožnik pogojeval njeno predajo s plačilom ali zagotovilom plačila. Ker tožnica tega ni storila, je tožnik vložil tožbo za plačilo. Toženka pa je menila, da je bila izročitev izvorne kode obveznost tožnika, saj brez nje mobilna aplikacija zanjo nima pomena, ter da zato tožnik ni izpolnil svoje obveznosti.</w:t>
      </w:r>
      <w:r w:rsidRPr="00BD3DDF">
        <w:tab/>
      </w:r>
    </w:p>
    <w:p w:rsidR="00E41E7C" w:rsidRDefault="00E41E7C" w:rsidP="00204CB6">
      <w:pPr>
        <w:rPr>
          <w:b/>
          <w:bCs/>
        </w:rPr>
      </w:pPr>
    </w:p>
    <w:p w:rsidR="00204CB6" w:rsidRPr="00BD3DDF" w:rsidRDefault="00494435" w:rsidP="00204CB6">
      <w:pPr>
        <w:rPr>
          <w:b/>
          <w:bCs/>
        </w:rPr>
      </w:pPr>
      <w:r w:rsidRPr="00BD3DDF">
        <w:rPr>
          <w:b/>
          <w:bCs/>
        </w:rPr>
        <w:lastRenderedPageBreak/>
        <w:t>Odločitev sodišč:</w:t>
      </w:r>
    </w:p>
    <w:p w:rsidR="006A64FB" w:rsidRPr="00BD3DDF" w:rsidRDefault="00204CB6" w:rsidP="006A64FB">
      <w:pPr>
        <w:ind w:left="720"/>
      </w:pPr>
      <w:r w:rsidRPr="00BD3DDF">
        <w:t>Sodišče prve stopnje je toženk</w:t>
      </w:r>
      <w:r w:rsidR="00230B8E" w:rsidRPr="00BD3DDF">
        <w:t>i</w:t>
      </w:r>
      <w:r w:rsidRPr="00BD3DDF">
        <w:t xml:space="preserve"> naložilo plačilo dogovorjenega zneska, Višje sodišče pa je pritožbo toženke zavrnilo. Bistveno vprašanje je bilo, ali je tožnik izpolnil svojo obveznost, čeprav toženki še ni posredoval izvorne kode? Sodišče je pri tem razlagalo 112. člen ZASP, ki določa, da kadar računalniški program ustvari avtor po avtorski pogodbi o naročilu, se šteje, da so materialne avtorske pravice in druge pravice avtorja na tem programu izključno in neomejeno prenesene na naročnika, če ni s pogodbo drugače določeno. Višje sodišče je pojasnilo, da se  z domnevo iz 112. člena ZASP ob molku strank prenese tudi pravica predelave in z njo zahtevek zoper programerja za izročitev izvorne kode. V konkretnem primeru se strani nista dogovorili drugače, zato je bil tožnik izvorno kodo dolžan  izročiti toženki. Ker je tožnik ponudil predajo izvorne kode s podpisom pogodbe, je na ustrezen način želel izpolniti svojo obveznost, tudi iz vidika 80. člena ZASP, ki določa pisno obliko za pravne posle, s katerimi se prenašajo materialne avtorske pravice. Zahteva tožnika po podpisu posebne pogodbe o predaji izvorne kode za pritožnico ni predstavljala nikakršnega bremena, zato Višje sodišče ni ugotovilo opravičljivega razloga, zakaj izvorne kode ni prevzel</w:t>
      </w:r>
      <w:r w:rsidR="006A64FB" w:rsidRPr="00BD3DDF">
        <w:t>.</w:t>
      </w:r>
    </w:p>
    <w:p w:rsidR="00204CB6" w:rsidRPr="00BD3DDF" w:rsidRDefault="00494435" w:rsidP="006A64FB">
      <w:r w:rsidRPr="00BD3DDF">
        <w:rPr>
          <w:b/>
          <w:bCs/>
        </w:rPr>
        <w:t>Komentar:</w:t>
      </w:r>
    </w:p>
    <w:p w:rsidR="00204CB6" w:rsidRPr="00BD3DDF" w:rsidRDefault="00204CB6" w:rsidP="00494435">
      <w:pPr>
        <w:ind w:left="720"/>
      </w:pPr>
      <w:r w:rsidRPr="00BD3DDF">
        <w:t>Sodba je pomembna z vidika razlage ob</w:t>
      </w:r>
      <w:r w:rsidR="00230B8E" w:rsidRPr="00BD3DDF">
        <w:t>ve</w:t>
      </w:r>
      <w:r w:rsidRPr="00BD3DDF">
        <w:t>znosti pogodbenih strank v primeru pogodbe o naročilu računalniškega programa.</w:t>
      </w:r>
    </w:p>
    <w:p w:rsidR="00204CB6" w:rsidRPr="00BD3DDF" w:rsidRDefault="00204CB6" w:rsidP="00204CB6"/>
    <w:p w:rsidR="009739A9" w:rsidRPr="00BD3DDF" w:rsidRDefault="007A2724" w:rsidP="00204CB6">
      <w:pPr>
        <w:pStyle w:val="Naslov4"/>
      </w:pPr>
      <w:bookmarkStart w:id="85" w:name="_Toc227678377"/>
      <w:bookmarkStart w:id="86" w:name="_Hlk227675303"/>
      <w:r w:rsidRPr="00BD3DDF">
        <w:t>VSL Sodba V Cpg 134/2024 z dne 20. februarja 2025</w:t>
      </w:r>
      <w:bookmarkEnd w:id="85"/>
    </w:p>
    <w:bookmarkEnd w:id="86"/>
    <w:p w:rsidR="009739A9" w:rsidRPr="00BD3DDF" w:rsidRDefault="009739A9" w:rsidP="009739A9">
      <w:pPr>
        <w:rPr>
          <w:b/>
          <w:bCs/>
        </w:rPr>
      </w:pPr>
      <w:r w:rsidRPr="00BD3DDF">
        <w:rPr>
          <w:b/>
          <w:bCs/>
        </w:rPr>
        <w:t>Nacionalno pravo in pravo EU:</w:t>
      </w:r>
    </w:p>
    <w:p w:rsidR="009739A9" w:rsidRPr="00BD3DDF" w:rsidRDefault="009739A9" w:rsidP="009739A9">
      <w:pPr>
        <w:ind w:firstLine="720"/>
      </w:pPr>
      <w:r w:rsidRPr="00BD3DDF">
        <w:t>Glej podpoglavje 2.2.2.2.</w:t>
      </w:r>
    </w:p>
    <w:p w:rsidR="00204CB6" w:rsidRPr="00BD3DDF" w:rsidRDefault="007A2724" w:rsidP="00204CB6">
      <w:pPr>
        <w:rPr>
          <w:b/>
          <w:bCs/>
        </w:rPr>
      </w:pPr>
      <w:r w:rsidRPr="00BD3DDF">
        <w:rPr>
          <w:b/>
          <w:bCs/>
        </w:rPr>
        <w:t>Dejansko stanje:</w:t>
      </w:r>
    </w:p>
    <w:p w:rsidR="00204CB6" w:rsidRPr="00BD3DDF" w:rsidRDefault="00204CB6" w:rsidP="007A2724">
      <w:pPr>
        <w:ind w:left="720"/>
      </w:pPr>
      <w:r w:rsidRPr="00BD3DDF">
        <w:t xml:space="preserve">Tožeča stranka je izdajateljica športnih TV programov. Z Združenjem UEFA je sklenila Pogodbo o medijskih pravicah, s katero je za potrebe uporabe in izkoriščanja </w:t>
      </w:r>
      <w:r w:rsidRPr="00BD3DDF">
        <w:lastRenderedPageBreak/>
        <w:t xml:space="preserve">na območju Republike Slovenije pridobila pravice do produkcije in predvajanja oddaj s prenosom tekem v živo, z zamikom, z vrhunci tekem, njihovimi odlomki, naknadnimi ogledi oziroma predogledi in napovedniki, izključno preko njenih televizijskih kanalov. Tožena stranka je kabelski operater, ki po poteku Licenčne pogodbe od 1. 4. 2020 dalje ni več imela pravice v svojem omrežju </w:t>
      </w:r>
      <w:proofErr w:type="spellStart"/>
      <w:r w:rsidRPr="00BD3DDF">
        <w:t>retransmitirati</w:t>
      </w:r>
      <w:proofErr w:type="spellEnd"/>
      <w:r w:rsidRPr="00BD3DDF">
        <w:t xml:space="preserve"> tekem UEFA Liga narodov 2020/2021. Kljub temu je nekatere tekme vseeno še </w:t>
      </w:r>
      <w:proofErr w:type="spellStart"/>
      <w:r w:rsidRPr="00BD3DDF">
        <w:t>retransmitirala</w:t>
      </w:r>
      <w:proofErr w:type="spellEnd"/>
      <w:r w:rsidRPr="00BD3DDF">
        <w:t xml:space="preserve">. </w:t>
      </w:r>
    </w:p>
    <w:p w:rsidR="00204CB6" w:rsidRPr="00BD3DDF" w:rsidRDefault="007A2724" w:rsidP="00204CB6">
      <w:pPr>
        <w:rPr>
          <w:b/>
          <w:bCs/>
        </w:rPr>
      </w:pPr>
      <w:r w:rsidRPr="00BD3DDF">
        <w:rPr>
          <w:b/>
          <w:bCs/>
        </w:rPr>
        <w:t>Odločitev sodišč:</w:t>
      </w:r>
    </w:p>
    <w:p w:rsidR="00204CB6" w:rsidRPr="00BD3DDF" w:rsidRDefault="00204CB6" w:rsidP="007A2724">
      <w:pPr>
        <w:ind w:left="720"/>
      </w:pPr>
      <w:r w:rsidRPr="00BD3DDF">
        <w:t xml:space="preserve">Sodišče prve stopnje je toženi stranki prepovedalo </w:t>
      </w:r>
      <w:proofErr w:type="spellStart"/>
      <w:r w:rsidRPr="00BD3DDF">
        <w:t>retransmisijo</w:t>
      </w:r>
      <w:proofErr w:type="spellEnd"/>
      <w:r w:rsidRPr="00BD3DDF">
        <w:t xml:space="preserve"> in vse druge oblike razširjanja javnosti programskih vsebin nogometnih tekem UEFA Liga narodov 2020/2021 na TV programih, preko TV aplikacije  in na vse druge tehnične načine, na ozemlju Republike Slovenije, ter ji v plačilo naložilo 622.200,00 EUR (414.800 EUR odškodnine po licenčni analogiji in 50 % civilno kazen zaradi namerne oziroma delno hudo malomarne kršitve pravic). </w:t>
      </w:r>
    </w:p>
    <w:p w:rsidR="00204CB6" w:rsidRPr="00BD3DDF" w:rsidRDefault="00204CB6" w:rsidP="00A52D68">
      <w:pPr>
        <w:ind w:left="720"/>
      </w:pPr>
      <w:r w:rsidRPr="00BD3DDF">
        <w:t>Višje sodišče je toženkino pritožbo zavrnilo</w:t>
      </w:r>
      <w:r w:rsidR="007A2724" w:rsidRPr="00BD3DDF">
        <w:t xml:space="preserve">. </w:t>
      </w:r>
      <w:r w:rsidRPr="00BD3DDF">
        <w:t xml:space="preserve">Sodišče je ob sklicevanju na sodbo SEU </w:t>
      </w:r>
      <w:r w:rsidR="0097427D" w:rsidRPr="00BD3DDF">
        <w:t xml:space="preserve">v zadevi </w:t>
      </w:r>
      <w:r w:rsidR="0097427D" w:rsidRPr="00BD3DDF">
        <w:rPr>
          <w:i/>
        </w:rPr>
        <w:t>FAPL</w:t>
      </w:r>
      <w:r w:rsidRPr="00BD3DDF">
        <w:t xml:space="preserve"> pojasnilo, da nogometne tekme, ki se odvijajo po vnaprej določenih pravilih, niso avtorsk</w:t>
      </w:r>
      <w:r w:rsidR="00230B8E" w:rsidRPr="00BD3DDF">
        <w:t>a dela</w:t>
      </w:r>
      <w:r w:rsidRPr="00BD3DDF">
        <w:t>. To merilo pa izpolnjujejo posnetki športnih dogodkov, ki so sestavljeni iz množice režijsko obdelanih elementov, ki poleg tekme v živo vključujejo tudi odlomke z zamikom in glasbene s</w:t>
      </w:r>
      <w:r w:rsidR="00230B8E" w:rsidRPr="00BD3DDF">
        <w:t>ekv</w:t>
      </w:r>
      <w:r w:rsidRPr="00BD3DDF">
        <w:t>ence. Individualnost in intelektualnost se odražata v številu in razporeditvi kamer ter mikrofonov ter v izboru slik med sam</w:t>
      </w:r>
      <w:r w:rsidR="00230B8E" w:rsidRPr="00BD3DDF">
        <w:t>i</w:t>
      </w:r>
      <w:r w:rsidRPr="00BD3DDF">
        <w:t xml:space="preserve">m prenosom </w:t>
      </w:r>
      <w:r w:rsidR="00230B8E" w:rsidRPr="00BD3DDF">
        <w:t>n</w:t>
      </w:r>
      <w:r w:rsidRPr="00BD3DDF">
        <w:t xml:space="preserve">ogometne tekme.  Prenos nogometne tekme je </w:t>
      </w:r>
      <w:r w:rsidR="00230B8E" w:rsidRPr="00BD3DDF">
        <w:t>avdiovizualno</w:t>
      </w:r>
      <w:r w:rsidRPr="00BD3DDF">
        <w:t xml:space="preserve"> delo v smislu 103. člena ZASP. Na </w:t>
      </w:r>
      <w:proofErr w:type="spellStart"/>
      <w:r w:rsidRPr="00BD3DDF">
        <w:t>videogramih</w:t>
      </w:r>
      <w:proofErr w:type="spellEnd"/>
      <w:r w:rsidRPr="00BD3DDF">
        <w:t>, na katerih so posnetki nogometnih tekem, imajo filmski producenti in RTV organizacije sorodne pravice. Nato se je sodišče ukvarjalo z vpra</w:t>
      </w:r>
      <w:r w:rsidR="0097427D" w:rsidRPr="00BD3DDF">
        <w:t>š</w:t>
      </w:r>
      <w:r w:rsidRPr="00BD3DDF">
        <w:t xml:space="preserve">anjem, ali je podelitev teritorialno omejenih prenosov pravic v skladu s pravili EU o konkurenci in o prostem pretoku storitev? Pojasnilo je, da varstvo športnih prenosov lahko utemelji omejitev svobodne konkurence in svobode opravljanja storitev. V pravu EU obstajajo določene omejitve izključnih pravic zaradi zagotavljanja dostopa do informacij in obveščenosti prebivalstva, kot na primer zahteva za dostop do televizijskega sprejemanja nacionalnih in </w:t>
      </w:r>
      <w:r w:rsidR="0097427D" w:rsidRPr="00BD3DDF">
        <w:t xml:space="preserve">tujih </w:t>
      </w:r>
      <w:r w:rsidRPr="00BD3DDF">
        <w:t xml:space="preserve">dogodkov velikega družbenega pomena in dostop do dogodkov </w:t>
      </w:r>
      <w:r w:rsidRPr="00BD3DDF">
        <w:lastRenderedPageBreak/>
        <w:t xml:space="preserve">velikega javnega interesa za namen kratkega poročanja (14. in 15. člen </w:t>
      </w:r>
      <w:bookmarkStart w:id="87" w:name="_Hlk227675490"/>
      <w:r w:rsidR="00A52D68" w:rsidRPr="00BD3DDF">
        <w:t>Direktive 2010/13/EU Evropskega parlamenta in Sveta z dne 10. marca 2010 o usklajevanju nekaterih zakonov in drugih predpisov držav članic o opravljanju avdiovizualnih medijskih storitev</w:t>
      </w:r>
      <w:bookmarkStart w:id="88" w:name="_Hlk227675500"/>
      <w:bookmarkEnd w:id="87"/>
      <w:r w:rsidR="00A52D68" w:rsidRPr="00BD3DDF">
        <w:rPr>
          <w:rStyle w:val="Sprotnaopomba-sklic"/>
        </w:rPr>
        <w:footnoteReference w:id="20"/>
      </w:r>
      <w:bookmarkEnd w:id="88"/>
      <w:r w:rsidRPr="00BD3DDF">
        <w:t xml:space="preserve">). Toda toženka ni trdila, da bi bile sporne nogometne tekme pomembnejši dogodki v pomenu 34.a člena </w:t>
      </w:r>
      <w:proofErr w:type="spellStart"/>
      <w:r w:rsidRPr="00BD3DDF">
        <w:t>ZAvMS</w:t>
      </w:r>
      <w:proofErr w:type="spellEnd"/>
      <w:r w:rsidRPr="00BD3DDF">
        <w:t xml:space="preserve">. Sodišče je še pojasnilo, da </w:t>
      </w:r>
      <w:bookmarkStart w:id="89" w:name="_Hlk227675516"/>
      <w:r w:rsidRPr="00BD3DDF">
        <w:t xml:space="preserve">sodba SEU </w:t>
      </w:r>
      <w:r w:rsidR="0097427D" w:rsidRPr="00BD3DDF">
        <w:t xml:space="preserve">z dne 21. 12. 2023 v zadevi </w:t>
      </w:r>
      <w:r w:rsidRPr="00BD3DDF">
        <w:t>C-333/21-</w:t>
      </w:r>
      <w:r w:rsidRPr="00BD3DDF">
        <w:rPr>
          <w:i/>
        </w:rPr>
        <w:t xml:space="preserve">European </w:t>
      </w:r>
      <w:proofErr w:type="spellStart"/>
      <w:r w:rsidRPr="00BD3DDF">
        <w:rPr>
          <w:i/>
        </w:rPr>
        <w:t>Superleague</w:t>
      </w:r>
      <w:proofErr w:type="spellEnd"/>
      <w:r w:rsidRPr="00BD3DDF">
        <w:rPr>
          <w:i/>
        </w:rPr>
        <w:t xml:space="preserve"> </w:t>
      </w:r>
      <w:proofErr w:type="spellStart"/>
      <w:r w:rsidRPr="00BD3DDF">
        <w:rPr>
          <w:i/>
        </w:rPr>
        <w:t>Company</w:t>
      </w:r>
      <w:proofErr w:type="spellEnd"/>
      <w:r w:rsidRPr="00BD3DDF">
        <w:t xml:space="preserve"> </w:t>
      </w:r>
      <w:bookmarkEnd w:id="89"/>
      <w:r w:rsidRPr="00BD3DDF">
        <w:t xml:space="preserve">za predmetni spor ni uporabljiva, ker se  nanaša samo na mednarodna klubska tekmovanja, ki jih organizirata in tržita UEFA in FIFA. Zgolj dejstvo, da je imetnik pravic podelil izključno pravico radiodifuznega oddajanja varovane vsebine iz ene države članice le enemu imetniku licence, ne zadostuje za ugotovitev, da ima tak sporazum </w:t>
      </w:r>
      <w:proofErr w:type="spellStart"/>
      <w:r w:rsidRPr="00BD3DDF">
        <w:t>protikonkurenčen</w:t>
      </w:r>
      <w:proofErr w:type="spellEnd"/>
      <w:r w:rsidRPr="00BD3DDF">
        <w:t xml:space="preserve"> cilj. Sodišče je še poudarilo, da se tožena stranka odgovornosti ne more razbremeniti s sklicevanjem na napako pri avtomatiziranem prenosu. Kot lastnica in upravlja</w:t>
      </w:r>
      <w:r w:rsidR="0097427D" w:rsidRPr="00BD3DDF">
        <w:t>v</w:t>
      </w:r>
      <w:r w:rsidRPr="00BD3DDF">
        <w:t xml:space="preserve">ka TV aplikacije (platforme) je v celoti odgovorna za njeno vsebino in posledično napake, ki so posledica njene odločitve, da določene vsebine prepusti avtomatiki. </w:t>
      </w:r>
      <w:r w:rsidRPr="00BD3DDF">
        <w:tab/>
      </w:r>
    </w:p>
    <w:p w:rsidR="00204CB6" w:rsidRPr="00BD3DDF" w:rsidRDefault="007A2724" w:rsidP="00204CB6">
      <w:pPr>
        <w:rPr>
          <w:b/>
          <w:bCs/>
        </w:rPr>
      </w:pPr>
      <w:r w:rsidRPr="00BD3DDF">
        <w:rPr>
          <w:b/>
          <w:bCs/>
        </w:rPr>
        <w:t>Komentar:</w:t>
      </w:r>
    </w:p>
    <w:p w:rsidR="00204CB6" w:rsidRDefault="00204CB6" w:rsidP="007A2724">
      <w:pPr>
        <w:ind w:left="720"/>
      </w:pPr>
      <w:r w:rsidRPr="00BD3DDF">
        <w:t xml:space="preserve">Sodba je pomembna, ker implementira odločitev SEU v zadevi </w:t>
      </w:r>
      <w:r w:rsidR="0097427D" w:rsidRPr="00BD3DDF">
        <w:rPr>
          <w:i/>
        </w:rPr>
        <w:t>FAPL</w:t>
      </w:r>
      <w:r w:rsidRPr="00BD3DDF">
        <w:t xml:space="preserve"> v slovenski pravni red in razlikuje med nogometno igro kot tako in posnetkom nogometne tekme, ki je lahko avtorskopravno varovan.</w:t>
      </w:r>
    </w:p>
    <w:p w:rsidR="00EE107E" w:rsidRDefault="00EE107E" w:rsidP="007A2724">
      <w:pPr>
        <w:ind w:left="720"/>
      </w:pPr>
      <w:r>
        <w:br w:type="page"/>
      </w:r>
    </w:p>
    <w:p w:rsidR="00204CB6" w:rsidRPr="00BD3DDF" w:rsidRDefault="00204CB6" w:rsidP="00204CB6">
      <w:pPr>
        <w:tabs>
          <w:tab w:val="left" w:pos="2941"/>
        </w:tabs>
      </w:pPr>
      <w:r w:rsidRPr="00BD3DDF">
        <w:lastRenderedPageBreak/>
        <w:tab/>
      </w:r>
    </w:p>
    <w:p w:rsidR="001D2F2C" w:rsidRPr="00BD3DDF" w:rsidRDefault="001D2F2C" w:rsidP="003D47D4">
      <w:pPr>
        <w:pStyle w:val="Naslov1"/>
      </w:pPr>
      <w:bookmarkStart w:id="90" w:name="_Toc137820495"/>
      <w:bookmarkStart w:id="91" w:name="_Toc169764613"/>
      <w:bookmarkStart w:id="92" w:name="_Toc227678378"/>
      <w:r w:rsidRPr="00BD3DDF">
        <w:t>Zaključek</w:t>
      </w:r>
      <w:bookmarkEnd w:id="90"/>
      <w:bookmarkEnd w:id="91"/>
      <w:bookmarkEnd w:id="92"/>
    </w:p>
    <w:p w:rsidR="00FA1ADA" w:rsidRPr="00BD3DDF" w:rsidRDefault="00FA1ADA" w:rsidP="00A849FF">
      <w:pPr>
        <w:rPr>
          <w:rFonts w:ascii="Trebuchet MS" w:hAnsi="Trebuchet MS"/>
          <w:szCs w:val="24"/>
        </w:rPr>
      </w:pPr>
      <w:r w:rsidRPr="00BD3DDF">
        <w:rPr>
          <w:szCs w:val="24"/>
        </w:rPr>
        <w:t>Leta 2025 število zadev s področja uveljavljanja pravic intelektualne lastnine v Republiki Sloveniji ostaja relativno stabilno in primerljivo s preteklimi leti, pri čemer pa izbrane sodbe kažejo na nadaljnji razvoj sodne prakse, zlasti na področju razlage prava EU in njegovega prepletanja z nacionalnim pravom.</w:t>
      </w:r>
      <w:r w:rsidRPr="00BD3DDF">
        <w:rPr>
          <w:rFonts w:ascii="Trebuchet MS" w:hAnsi="Trebuchet MS"/>
          <w:szCs w:val="24"/>
        </w:rPr>
        <w:t xml:space="preserve"> </w:t>
      </w:r>
    </w:p>
    <w:p w:rsidR="00DC761A" w:rsidRPr="00BD3DDF" w:rsidRDefault="00FA1ADA" w:rsidP="00A849FF">
      <w:pPr>
        <w:rPr>
          <w:rFonts w:ascii="Trebuchet MS" w:hAnsi="Trebuchet MS"/>
          <w:color w:val="000000"/>
          <w:szCs w:val="24"/>
        </w:rPr>
      </w:pPr>
      <w:r w:rsidRPr="00BD3DDF">
        <w:rPr>
          <w:rFonts w:ascii="Trebuchet MS" w:hAnsi="Trebuchet MS"/>
          <w:color w:val="000000"/>
          <w:szCs w:val="24"/>
        </w:rPr>
        <w:t xml:space="preserve">Iz predstavljene sodne prakse je razvidno, da slovenska sodišča dosledno upoštevajo pravo EU ter sodno prakso </w:t>
      </w:r>
      <w:r w:rsidR="00DC761A" w:rsidRPr="00BD3DDF">
        <w:rPr>
          <w:rFonts w:ascii="Trebuchet MS" w:hAnsi="Trebuchet MS"/>
          <w:color w:val="000000"/>
          <w:szCs w:val="24"/>
        </w:rPr>
        <w:t xml:space="preserve">SEU. </w:t>
      </w:r>
      <w:r w:rsidRPr="00BD3DDF">
        <w:rPr>
          <w:rFonts w:ascii="Trebuchet MS" w:hAnsi="Trebuchet MS"/>
          <w:color w:val="000000"/>
          <w:szCs w:val="24"/>
        </w:rPr>
        <w:t>Pri razlagi nacionalnih določb se opirajo na namen in cilje direktiv in uredb, pri čemer pogosto posegajo tudi po primerjalni in tuji sodni praksi. Z vidika avtorskega prava in industrijske lastnine je pomembna zadeva »Teta Frida«, v kateri je sodišče grafični podobi, namenjeni označevanju slaščic, priznalo visoko stopnjo avtorskopravnega varstva.</w:t>
      </w:r>
      <w:r w:rsidRPr="00BD3DDF">
        <w:rPr>
          <w:rStyle w:val="apple-converted-space"/>
          <w:rFonts w:ascii="Trebuchet MS" w:hAnsi="Trebuchet MS"/>
          <w:color w:val="000000"/>
          <w:szCs w:val="24"/>
        </w:rPr>
        <w:t> </w:t>
      </w:r>
      <w:r w:rsidRPr="00BD3DDF">
        <w:rPr>
          <w:rFonts w:ascii="Trebuchet MS" w:hAnsi="Trebuchet MS"/>
          <w:color w:val="000000"/>
          <w:szCs w:val="24"/>
        </w:rPr>
        <w:t>Kot primer neenotne prakse med državami članicami EU izstopa patentna zadeva</w:t>
      </w:r>
      <w:r w:rsidRPr="00BD3DDF">
        <w:rPr>
          <w:rStyle w:val="apple-converted-space"/>
          <w:rFonts w:ascii="Trebuchet MS" w:hAnsi="Trebuchet MS"/>
          <w:color w:val="000000"/>
          <w:szCs w:val="24"/>
        </w:rPr>
        <w:t> </w:t>
      </w:r>
      <w:r w:rsidRPr="00BD3DDF">
        <w:rPr>
          <w:rStyle w:val="Krepko"/>
          <w:rFonts w:ascii="Trebuchet MS" w:hAnsi="Trebuchet MS"/>
          <w:b w:val="0"/>
          <w:bCs w:val="0"/>
          <w:color w:val="000000"/>
          <w:szCs w:val="24"/>
        </w:rPr>
        <w:t>»</w:t>
      </w:r>
      <w:proofErr w:type="spellStart"/>
      <w:r w:rsidRPr="00BD3DDF">
        <w:rPr>
          <w:rStyle w:val="Krepko"/>
          <w:rFonts w:ascii="Trebuchet MS" w:hAnsi="Trebuchet MS"/>
          <w:b w:val="0"/>
          <w:bCs w:val="0"/>
          <w:color w:val="000000"/>
          <w:szCs w:val="24"/>
        </w:rPr>
        <w:t>Rivaroksaban</w:t>
      </w:r>
      <w:proofErr w:type="spellEnd"/>
      <w:r w:rsidRPr="00BD3DDF">
        <w:rPr>
          <w:rStyle w:val="Krepko"/>
          <w:rFonts w:ascii="Trebuchet MS" w:hAnsi="Trebuchet MS"/>
          <w:b w:val="0"/>
          <w:bCs w:val="0"/>
          <w:color w:val="000000"/>
          <w:szCs w:val="24"/>
        </w:rPr>
        <w:t>«</w:t>
      </w:r>
      <w:r w:rsidRPr="00BD3DDF">
        <w:rPr>
          <w:rFonts w:ascii="Trebuchet MS" w:hAnsi="Trebuchet MS"/>
          <w:b/>
          <w:bCs/>
          <w:color w:val="000000"/>
          <w:szCs w:val="24"/>
        </w:rPr>
        <w:t xml:space="preserve">, </w:t>
      </w:r>
      <w:r w:rsidRPr="00BD3DDF">
        <w:rPr>
          <w:rFonts w:ascii="Trebuchet MS" w:hAnsi="Trebuchet MS"/>
          <w:color w:val="000000"/>
          <w:szCs w:val="24"/>
        </w:rPr>
        <w:t>v kateri so sodišča različno presodila vprašanje inventivne ravni istega patenta. Razhajanja kažejo na pomen enotnejšega pristopa pri presoji veljavnosti patentov, kar omogoča institut Enotnega sodišča za patente.</w:t>
      </w:r>
    </w:p>
    <w:p w:rsidR="003979FA" w:rsidRPr="00BD3DDF" w:rsidRDefault="00DC761A" w:rsidP="00A849FF">
      <w:pPr>
        <w:rPr>
          <w:szCs w:val="24"/>
        </w:rPr>
      </w:pPr>
      <w:r w:rsidRPr="00BD3DDF">
        <w:rPr>
          <w:szCs w:val="24"/>
        </w:rPr>
        <w:t>Upajmo, da bo praksa v zvezi z uveljavljanjem pravic intelektualne lastnine tudi naslednje leto tako bogata, pri čemer pa bi si želeli še več raznolikih primerov s področja kolektivnega upravljanja avtorske in sorodnih pravic, saj to področje letos ni bilo zastopano z zanimivejšimi odločitvami.</w:t>
      </w:r>
      <w:r w:rsidR="003979FA" w:rsidRPr="00BD3DDF">
        <w:rPr>
          <w:szCs w:val="24"/>
        </w:rPr>
        <w:br w:type="page"/>
      </w:r>
    </w:p>
    <w:p w:rsidR="002D1859" w:rsidRPr="00BD3DDF" w:rsidRDefault="003979FA" w:rsidP="00A849FF">
      <w:pPr>
        <w:pStyle w:val="Naslov1"/>
      </w:pPr>
      <w:bookmarkStart w:id="93" w:name="_Toc227678379"/>
      <w:r w:rsidRPr="00BD3DDF">
        <w:lastRenderedPageBreak/>
        <w:t>Literatura</w:t>
      </w:r>
      <w:bookmarkEnd w:id="93"/>
    </w:p>
    <w:p w:rsidR="00DF1029" w:rsidRPr="00BD3DDF" w:rsidRDefault="00DF1029" w:rsidP="00DF1029">
      <w:pPr>
        <w:pStyle w:val="Odstavekseznama"/>
        <w:spacing w:before="0" w:after="0"/>
        <w:rPr>
          <w:rFonts w:eastAsia="Times New Roman" w:cs="Times New Roman"/>
          <w:color w:val="000000" w:themeColor="text1"/>
          <w:szCs w:val="24"/>
          <w:lang w:eastAsia="en-GB"/>
        </w:rPr>
      </w:pP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Direktiva (EU) 2015/2436 z dne 16. decembra 2015 o približevanju zakonodaje držav članic v zvezi z blagovnimi znamkami. UL L 336, 23.12.2015, str. 1–26.</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Direktiva 2004/48/ES Evropskega parlamenta in Sveta z dne 29. aprila 2004 o uveljavljanju pravic intelektualne lastnine. UL L 157, 30. 4. 2004, str. 45.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Direktiva 2010/13/EU Evropskega parlamenta in Sveta z dne 10. marca 2010 o usklajevanju nekaterih zakonov in drugih predpisov držav članic o opravljanju avdiovizualnih medijskih storitev. UL L 095, 15.04.2010, str. 1-24.</w:t>
      </w:r>
    </w:p>
    <w:p w:rsidR="00BD3DDF" w:rsidRPr="00BD3DDF" w:rsidRDefault="00BD3DDF" w:rsidP="00BD3DDF">
      <w:pPr>
        <w:numPr>
          <w:ilvl w:val="0"/>
          <w:numId w:val="34"/>
        </w:numPr>
        <w:spacing w:before="0" w:after="0"/>
        <w:rPr>
          <w:szCs w:val="24"/>
        </w:rPr>
      </w:pPr>
      <w:r w:rsidRPr="00BD3DDF">
        <w:rPr>
          <w:szCs w:val="24"/>
        </w:rPr>
        <w:t xml:space="preserve">Drobež, E., &amp; </w:t>
      </w:r>
      <w:proofErr w:type="spellStart"/>
      <w:r w:rsidRPr="00BD3DDF">
        <w:rPr>
          <w:szCs w:val="24"/>
        </w:rPr>
        <w:t>Teppey</w:t>
      </w:r>
      <w:proofErr w:type="spellEnd"/>
      <w:r w:rsidRPr="00BD3DDF">
        <w:rPr>
          <w:szCs w:val="24"/>
        </w:rPr>
        <w:t>, M. (2019). Analiza stanja na področju uveljavljanja pravic intelektualne lastnine v Republiki Sloveniji v obdobju od 1. januarja 2015 do 31. decembra 2018.</w:t>
      </w:r>
    </w:p>
    <w:p w:rsidR="00BD3DDF" w:rsidRPr="00BD3DDF" w:rsidRDefault="00BD3DDF" w:rsidP="00BD3DDF">
      <w:pPr>
        <w:numPr>
          <w:ilvl w:val="0"/>
          <w:numId w:val="34"/>
        </w:numPr>
        <w:spacing w:before="0" w:after="0"/>
        <w:rPr>
          <w:szCs w:val="24"/>
        </w:rPr>
      </w:pPr>
      <w:r w:rsidRPr="00BD3DDF">
        <w:rPr>
          <w:szCs w:val="24"/>
        </w:rPr>
        <w:t xml:space="preserve">Drobež, E., &amp; </w:t>
      </w:r>
      <w:proofErr w:type="spellStart"/>
      <w:r w:rsidRPr="00BD3DDF">
        <w:rPr>
          <w:szCs w:val="24"/>
        </w:rPr>
        <w:t>Teppey</w:t>
      </w:r>
      <w:proofErr w:type="spellEnd"/>
      <w:r w:rsidRPr="00BD3DDF">
        <w:rPr>
          <w:szCs w:val="24"/>
        </w:rPr>
        <w:t>, M. (2020). Analiza stanja na področju uveljavljanja pravic intelektualne lastnine v Republiki Sloveniji v obdobju od 1. januarja do 31. decembra 2019.</w:t>
      </w:r>
    </w:p>
    <w:p w:rsidR="00BD3DDF" w:rsidRPr="00BD3DDF" w:rsidRDefault="00BD3DDF" w:rsidP="00BD3DDF">
      <w:pPr>
        <w:numPr>
          <w:ilvl w:val="0"/>
          <w:numId w:val="34"/>
        </w:numPr>
        <w:spacing w:before="0" w:after="0"/>
        <w:rPr>
          <w:szCs w:val="24"/>
        </w:rPr>
      </w:pPr>
      <w:r w:rsidRPr="00BD3DDF">
        <w:rPr>
          <w:szCs w:val="24"/>
        </w:rPr>
        <w:t xml:space="preserve">Drobež, E., &amp; </w:t>
      </w:r>
      <w:proofErr w:type="spellStart"/>
      <w:r w:rsidRPr="00BD3DDF">
        <w:rPr>
          <w:szCs w:val="24"/>
        </w:rPr>
        <w:t>Teppey</w:t>
      </w:r>
      <w:proofErr w:type="spellEnd"/>
      <w:r w:rsidRPr="00BD3DDF">
        <w:rPr>
          <w:szCs w:val="24"/>
        </w:rPr>
        <w:t>, M. (2021). Analiza stanja na področju uveljavljanja pravic intelektualne lastnine v Republiki Sloveniji v letu 2020.</w:t>
      </w:r>
    </w:p>
    <w:p w:rsidR="00BD3DDF" w:rsidRPr="00BD3DDF" w:rsidRDefault="00BD3DDF" w:rsidP="00BD3DDF">
      <w:pPr>
        <w:numPr>
          <w:ilvl w:val="0"/>
          <w:numId w:val="34"/>
        </w:numPr>
        <w:spacing w:before="0" w:after="0"/>
        <w:rPr>
          <w:szCs w:val="24"/>
        </w:rPr>
      </w:pPr>
      <w:r w:rsidRPr="00BD3DDF">
        <w:rPr>
          <w:szCs w:val="24"/>
        </w:rPr>
        <w:t xml:space="preserve">Drobež, E., &amp; </w:t>
      </w:r>
      <w:proofErr w:type="spellStart"/>
      <w:r w:rsidRPr="00BD3DDF">
        <w:rPr>
          <w:szCs w:val="24"/>
        </w:rPr>
        <w:t>Teppey</w:t>
      </w:r>
      <w:proofErr w:type="spellEnd"/>
      <w:r w:rsidRPr="00BD3DDF">
        <w:rPr>
          <w:szCs w:val="24"/>
        </w:rPr>
        <w:t xml:space="preserve">, M. (2022). Analiza stanja na področju uveljavljanja pravic intelektualne lastnine v Republiki Sloveniji v letu 2021. </w:t>
      </w:r>
    </w:p>
    <w:p w:rsidR="00BD3DDF" w:rsidRPr="00BD3DDF" w:rsidRDefault="00BD3DDF" w:rsidP="00BD3DDF">
      <w:pPr>
        <w:numPr>
          <w:ilvl w:val="0"/>
          <w:numId w:val="34"/>
        </w:numPr>
        <w:spacing w:before="0" w:after="0"/>
        <w:rPr>
          <w:szCs w:val="24"/>
        </w:rPr>
      </w:pPr>
      <w:r w:rsidRPr="00BD3DDF">
        <w:rPr>
          <w:szCs w:val="24"/>
        </w:rPr>
        <w:t xml:space="preserve">Drobež, E., &amp; </w:t>
      </w:r>
      <w:proofErr w:type="spellStart"/>
      <w:r w:rsidRPr="00BD3DDF">
        <w:rPr>
          <w:szCs w:val="24"/>
        </w:rPr>
        <w:t>Teppey</w:t>
      </w:r>
      <w:proofErr w:type="spellEnd"/>
      <w:r w:rsidRPr="00BD3DDF">
        <w:rPr>
          <w:szCs w:val="24"/>
        </w:rPr>
        <w:t>, M. (2023). Analiza stanja na področju uveljavljanja pravic intelektualne lastnine v Republiki Sloveniji v letu 2022.</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Drobež, E., &amp; </w:t>
      </w:r>
      <w:proofErr w:type="spellStart"/>
      <w:r w:rsidRPr="00BD3DDF">
        <w:rPr>
          <w:rFonts w:eastAsia="Times New Roman" w:cs="Times New Roman"/>
          <w:color w:val="000000" w:themeColor="text1"/>
          <w:szCs w:val="24"/>
          <w:lang w:eastAsia="en-GB"/>
        </w:rPr>
        <w:t>Teppey</w:t>
      </w:r>
      <w:proofErr w:type="spellEnd"/>
      <w:r w:rsidRPr="00BD3DDF">
        <w:rPr>
          <w:rFonts w:eastAsia="Times New Roman" w:cs="Times New Roman"/>
          <w:color w:val="000000" w:themeColor="text1"/>
          <w:szCs w:val="24"/>
          <w:lang w:eastAsia="en-GB"/>
        </w:rPr>
        <w:t>, M. (2024). Analiza stanja na področju uveljavljanja pravic intelektualne lastnine v Republiki Sloveniji v letu 2023.</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Drobež, E., &amp; </w:t>
      </w:r>
      <w:proofErr w:type="spellStart"/>
      <w:r w:rsidRPr="00BD3DDF">
        <w:rPr>
          <w:rFonts w:eastAsia="Times New Roman" w:cs="Times New Roman"/>
          <w:color w:val="000000" w:themeColor="text1"/>
          <w:szCs w:val="24"/>
          <w:lang w:eastAsia="en-GB"/>
        </w:rPr>
        <w:t>Teppey</w:t>
      </w:r>
      <w:proofErr w:type="spellEnd"/>
      <w:r w:rsidRPr="00BD3DDF">
        <w:rPr>
          <w:rFonts w:eastAsia="Times New Roman" w:cs="Times New Roman"/>
          <w:color w:val="000000" w:themeColor="text1"/>
          <w:szCs w:val="24"/>
          <w:lang w:eastAsia="en-GB"/>
        </w:rPr>
        <w:t>, M. (2025). Analiza stanja na področju uveljavljanja pravic intelektualne lastnine v Republiki Sloveniji v letu 2024.</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EPO odločba z dne 27. 10. 2021 v zadevi T 1732/2018.</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EPO. </w:t>
      </w:r>
      <w:proofErr w:type="spellStart"/>
      <w:r w:rsidRPr="00BD3DDF">
        <w:rPr>
          <w:rFonts w:eastAsia="Times New Roman" w:cs="Times New Roman"/>
          <w:color w:val="000000" w:themeColor="text1"/>
          <w:szCs w:val="24"/>
          <w:lang w:eastAsia="en-GB"/>
        </w:rPr>
        <w:t>Guidelines</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for</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Examination</w:t>
      </w:r>
      <w:proofErr w:type="spellEnd"/>
      <w:r w:rsidRPr="00BD3DDF">
        <w:rPr>
          <w:rFonts w:eastAsia="Times New Roman" w:cs="Times New Roman"/>
          <w:color w:val="000000" w:themeColor="text1"/>
          <w:szCs w:val="24"/>
          <w:lang w:eastAsia="en-GB"/>
        </w:rPr>
        <w:t xml:space="preserve"> in </w:t>
      </w:r>
      <w:proofErr w:type="spellStart"/>
      <w:r w:rsidRPr="00BD3DDF">
        <w:rPr>
          <w:rFonts w:eastAsia="Times New Roman" w:cs="Times New Roman"/>
          <w:color w:val="000000" w:themeColor="text1"/>
          <w:szCs w:val="24"/>
          <w:lang w:eastAsia="en-GB"/>
        </w:rPr>
        <w:t>the</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European</w:t>
      </w:r>
      <w:proofErr w:type="spellEnd"/>
      <w:r w:rsidRPr="00BD3DDF">
        <w:rPr>
          <w:rFonts w:eastAsia="Times New Roman" w:cs="Times New Roman"/>
          <w:color w:val="000000" w:themeColor="text1"/>
          <w:szCs w:val="24"/>
          <w:lang w:eastAsia="en-GB"/>
        </w:rPr>
        <w:t xml:space="preserve"> Patent Office. URL: https://www.epo.org/en/legal/guidelines-epc/2026/index.html.</w:t>
      </w:r>
    </w:p>
    <w:p w:rsidR="00BD3DDF" w:rsidRPr="00BD3DDF" w:rsidRDefault="00BD3DDF" w:rsidP="00BD3DDF">
      <w:pPr>
        <w:numPr>
          <w:ilvl w:val="0"/>
          <w:numId w:val="34"/>
        </w:numPr>
        <w:spacing w:before="0" w:after="0"/>
        <w:rPr>
          <w:szCs w:val="24"/>
        </w:rPr>
      </w:pPr>
      <w:r w:rsidRPr="00BD3DDF">
        <w:rPr>
          <w:szCs w:val="24"/>
        </w:rPr>
        <w:t xml:space="preserve">EUIPO (2023), </w:t>
      </w:r>
      <w:proofErr w:type="spellStart"/>
      <w:r w:rsidRPr="00BD3DDF">
        <w:rPr>
          <w:szCs w:val="24"/>
        </w:rPr>
        <w:t>Trade</w:t>
      </w:r>
      <w:proofErr w:type="spellEnd"/>
      <w:r w:rsidRPr="00BD3DDF">
        <w:rPr>
          <w:szCs w:val="24"/>
        </w:rPr>
        <w:t xml:space="preserve"> </w:t>
      </w:r>
      <w:proofErr w:type="spellStart"/>
      <w:r w:rsidRPr="00BD3DDF">
        <w:rPr>
          <w:szCs w:val="24"/>
        </w:rPr>
        <w:t>Secrets</w:t>
      </w:r>
      <w:proofErr w:type="spellEnd"/>
      <w:r w:rsidRPr="00BD3DDF">
        <w:rPr>
          <w:szCs w:val="24"/>
        </w:rPr>
        <w:t xml:space="preserve"> </w:t>
      </w:r>
      <w:proofErr w:type="spellStart"/>
      <w:r w:rsidRPr="00BD3DDF">
        <w:rPr>
          <w:szCs w:val="24"/>
        </w:rPr>
        <w:t>Litigation</w:t>
      </w:r>
      <w:proofErr w:type="spellEnd"/>
      <w:r w:rsidRPr="00BD3DDF">
        <w:rPr>
          <w:szCs w:val="24"/>
        </w:rPr>
        <w:t xml:space="preserve"> </w:t>
      </w:r>
      <w:proofErr w:type="spellStart"/>
      <w:r w:rsidRPr="00BD3DDF">
        <w:rPr>
          <w:szCs w:val="24"/>
        </w:rPr>
        <w:t>Trends</w:t>
      </w:r>
      <w:proofErr w:type="spellEnd"/>
      <w:r w:rsidRPr="00BD3DDF">
        <w:rPr>
          <w:szCs w:val="24"/>
        </w:rPr>
        <w:t xml:space="preserve"> in </w:t>
      </w:r>
      <w:proofErr w:type="spellStart"/>
      <w:r w:rsidRPr="00BD3DDF">
        <w:rPr>
          <w:szCs w:val="24"/>
        </w:rPr>
        <w:t>the</w:t>
      </w:r>
      <w:proofErr w:type="spellEnd"/>
      <w:r w:rsidRPr="00BD3DDF">
        <w:rPr>
          <w:szCs w:val="24"/>
        </w:rPr>
        <w:t xml:space="preserve"> EU. URL: </w:t>
      </w:r>
      <w:hyperlink r:id="rId31" w:history="1">
        <w:r w:rsidRPr="00BD3DDF">
          <w:rPr>
            <w:rStyle w:val="Hiperpovezava"/>
            <w:szCs w:val="24"/>
          </w:rPr>
          <w:t>https://euipo.europa.eu/tunnel-web/secure/webdav/guest/document_library/observatory/documents/reports/20</w:t>
        </w:r>
        <w:r w:rsidRPr="00BD3DDF">
          <w:rPr>
            <w:rStyle w:val="Hiperpovezava"/>
            <w:szCs w:val="24"/>
          </w:rPr>
          <w:lastRenderedPageBreak/>
          <w:t>23_Trade_Secrets_Litigation_Trends_in_the_EU/2023_Trade_Secrets_Litigation_Trends_Study_FullR_en.pdf</w:t>
        </w:r>
      </w:hyperlink>
      <w:r w:rsidRPr="00BD3DDF">
        <w:rPr>
          <w:szCs w:val="24"/>
        </w:rPr>
        <w:t xml:space="preserve"> (nazadnje obiskano 15. 6. 2025).</w:t>
      </w:r>
    </w:p>
    <w:p w:rsidR="00BD3DDF" w:rsidRPr="00BD3DDF" w:rsidRDefault="00BD3DDF" w:rsidP="00BD3DDF">
      <w:pPr>
        <w:numPr>
          <w:ilvl w:val="0"/>
          <w:numId w:val="34"/>
        </w:numPr>
        <w:spacing w:before="0" w:after="0"/>
        <w:rPr>
          <w:szCs w:val="24"/>
        </w:rPr>
      </w:pPr>
      <w:r w:rsidRPr="00BD3DDF">
        <w:rPr>
          <w:szCs w:val="24"/>
        </w:rPr>
        <w:t xml:space="preserve">EUIPO, </w:t>
      </w:r>
      <w:proofErr w:type="spellStart"/>
      <w:r w:rsidRPr="00BD3DDF">
        <w:rPr>
          <w:szCs w:val="24"/>
        </w:rPr>
        <w:t>Observatory</w:t>
      </w:r>
      <w:proofErr w:type="spellEnd"/>
      <w:r w:rsidRPr="00BD3DDF">
        <w:rPr>
          <w:szCs w:val="24"/>
        </w:rPr>
        <w:t xml:space="preserve"> (</w:t>
      </w:r>
      <w:proofErr w:type="spellStart"/>
      <w:r w:rsidRPr="00BD3DDF">
        <w:rPr>
          <w:szCs w:val="24"/>
        </w:rPr>
        <w:t>n.d</w:t>
      </w:r>
      <w:proofErr w:type="spellEnd"/>
      <w:r w:rsidRPr="00BD3DDF">
        <w:rPr>
          <w:szCs w:val="24"/>
        </w:rPr>
        <w:t xml:space="preserve">.). </w:t>
      </w:r>
      <w:proofErr w:type="spellStart"/>
      <w:r w:rsidRPr="00BD3DDF">
        <w:rPr>
          <w:szCs w:val="24"/>
        </w:rPr>
        <w:t>Case</w:t>
      </w:r>
      <w:proofErr w:type="spellEnd"/>
      <w:r w:rsidRPr="00BD3DDF">
        <w:rPr>
          <w:szCs w:val="24"/>
        </w:rPr>
        <w:t xml:space="preserve"> </w:t>
      </w:r>
      <w:proofErr w:type="spellStart"/>
      <w:r w:rsidRPr="00BD3DDF">
        <w:rPr>
          <w:szCs w:val="24"/>
        </w:rPr>
        <w:t>law</w:t>
      </w:r>
      <w:proofErr w:type="spellEnd"/>
      <w:r w:rsidRPr="00BD3DDF">
        <w:rPr>
          <w:szCs w:val="24"/>
        </w:rPr>
        <w:t xml:space="preserve">. URL: </w:t>
      </w:r>
      <w:hyperlink r:id="rId32" w:history="1">
        <w:r w:rsidRPr="00BD3DDF">
          <w:rPr>
            <w:rStyle w:val="Hiperpovezava"/>
            <w:szCs w:val="24"/>
          </w:rPr>
          <w:t>https://www.euipo.europa.eu/en/observatory/enforcement/case-law</w:t>
        </w:r>
      </w:hyperlink>
      <w:r w:rsidRPr="00BD3DDF">
        <w:rPr>
          <w:szCs w:val="24"/>
        </w:rPr>
        <w:t xml:space="preserve"> (nazadnje obiskano 15. 6. 2025).</w:t>
      </w:r>
    </w:p>
    <w:p w:rsidR="00BD3DDF" w:rsidRPr="00BD3DDF" w:rsidRDefault="00BD3DDF" w:rsidP="00BD3DDF">
      <w:pPr>
        <w:numPr>
          <w:ilvl w:val="0"/>
          <w:numId w:val="34"/>
        </w:numPr>
        <w:spacing w:before="0" w:after="0"/>
        <w:rPr>
          <w:szCs w:val="24"/>
        </w:rPr>
      </w:pPr>
      <w:r w:rsidRPr="00BD3DDF">
        <w:rPr>
          <w:szCs w:val="24"/>
        </w:rPr>
        <w:t>Evropski parlament (</w:t>
      </w:r>
      <w:proofErr w:type="spellStart"/>
      <w:r w:rsidRPr="00BD3DDF">
        <w:rPr>
          <w:szCs w:val="24"/>
        </w:rPr>
        <w:t>n.d</w:t>
      </w:r>
      <w:proofErr w:type="spellEnd"/>
      <w:r w:rsidRPr="00BD3DDF">
        <w:rPr>
          <w:szCs w:val="24"/>
        </w:rPr>
        <w:t xml:space="preserve">.). </w:t>
      </w:r>
      <w:proofErr w:type="spellStart"/>
      <w:r w:rsidRPr="00BD3DDF">
        <w:rPr>
          <w:szCs w:val="24"/>
        </w:rPr>
        <w:t>Intellectual</w:t>
      </w:r>
      <w:proofErr w:type="spellEnd"/>
      <w:r w:rsidRPr="00BD3DDF">
        <w:rPr>
          <w:szCs w:val="24"/>
        </w:rPr>
        <w:t xml:space="preserve">, </w:t>
      </w:r>
      <w:proofErr w:type="spellStart"/>
      <w:r w:rsidRPr="00BD3DDF">
        <w:rPr>
          <w:szCs w:val="24"/>
        </w:rPr>
        <w:t>industrial</w:t>
      </w:r>
      <w:proofErr w:type="spellEnd"/>
      <w:r w:rsidRPr="00BD3DDF">
        <w:rPr>
          <w:szCs w:val="24"/>
        </w:rPr>
        <w:t xml:space="preserve"> </w:t>
      </w:r>
      <w:proofErr w:type="spellStart"/>
      <w:r w:rsidRPr="00BD3DDF">
        <w:rPr>
          <w:szCs w:val="24"/>
        </w:rPr>
        <w:t>and</w:t>
      </w:r>
      <w:proofErr w:type="spellEnd"/>
      <w:r w:rsidRPr="00BD3DDF">
        <w:rPr>
          <w:szCs w:val="24"/>
        </w:rPr>
        <w:t xml:space="preserve"> </w:t>
      </w:r>
      <w:proofErr w:type="spellStart"/>
      <w:r w:rsidRPr="00BD3DDF">
        <w:rPr>
          <w:szCs w:val="24"/>
        </w:rPr>
        <w:t>commercial</w:t>
      </w:r>
      <w:proofErr w:type="spellEnd"/>
      <w:r w:rsidRPr="00BD3DDF">
        <w:rPr>
          <w:szCs w:val="24"/>
        </w:rPr>
        <w:t xml:space="preserve"> </w:t>
      </w:r>
      <w:proofErr w:type="spellStart"/>
      <w:r w:rsidRPr="00BD3DDF">
        <w:rPr>
          <w:szCs w:val="24"/>
        </w:rPr>
        <w:t>property</w:t>
      </w:r>
      <w:proofErr w:type="spellEnd"/>
      <w:r w:rsidRPr="00BD3DDF">
        <w:rPr>
          <w:szCs w:val="24"/>
        </w:rPr>
        <w:t xml:space="preserve">. URL: </w:t>
      </w:r>
      <w:hyperlink r:id="rId33" w:history="1">
        <w:r w:rsidRPr="00BD3DDF">
          <w:rPr>
            <w:rStyle w:val="Hiperpovezava"/>
            <w:szCs w:val="24"/>
          </w:rPr>
          <w:t>https://www.europarl.europa.eu/factsheets/en/sheet/36/intellectual-industrial-and-commercial-property</w:t>
        </w:r>
      </w:hyperlink>
      <w:r w:rsidRPr="00BD3DDF">
        <w:rPr>
          <w:szCs w:val="24"/>
        </w:rPr>
        <w:t xml:space="preserve"> (nazadnje obiskano 15. 6.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https://register.epo.org/application?number=EP06706291</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Konvencija o podeljevanju evropskih patentov (EPK). Uradni list RS – Mednarodne pogodbe, št. 19/02.</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Listina EU o temeljnih pravicah. UL C 202, 7.6.2016, str. 389–405.</w:t>
      </w:r>
    </w:p>
    <w:p w:rsidR="00BD3DDF" w:rsidRPr="00BD3DDF" w:rsidRDefault="00BD3DDF" w:rsidP="00BD3DDF">
      <w:pPr>
        <w:numPr>
          <w:ilvl w:val="0"/>
          <w:numId w:val="34"/>
        </w:numPr>
        <w:spacing w:before="0" w:after="0"/>
        <w:rPr>
          <w:szCs w:val="24"/>
        </w:rPr>
      </w:pPr>
      <w:r w:rsidRPr="00BD3DDF">
        <w:rPr>
          <w:szCs w:val="24"/>
        </w:rPr>
        <w:t>Mežnar, Š., &amp; Ovčak Kos, M. (2015). Pravna ocena stanja na področju uveljavljanja pravic intelektualne lastnine v RS.</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Obligacijski zakonik (OZ). Uradni list RS, št. 97/07 – uradno prečiščeno besedilo, 64/16 – </w:t>
      </w:r>
      <w:proofErr w:type="spellStart"/>
      <w:r w:rsidRPr="00BD3DDF">
        <w:rPr>
          <w:rFonts w:eastAsia="Times New Roman" w:cs="Times New Roman"/>
          <w:color w:val="000000" w:themeColor="text1"/>
          <w:szCs w:val="24"/>
          <w:lang w:eastAsia="en-GB"/>
        </w:rPr>
        <w:t>odl</w:t>
      </w:r>
      <w:proofErr w:type="spellEnd"/>
      <w:r w:rsidRPr="00BD3DDF">
        <w:rPr>
          <w:rFonts w:eastAsia="Times New Roman" w:cs="Times New Roman"/>
          <w:color w:val="000000" w:themeColor="text1"/>
          <w:szCs w:val="24"/>
          <w:lang w:eastAsia="en-GB"/>
        </w:rPr>
        <w:t>. US in 20/18 – OROZ631.</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SEU sodba z dne 1. 12. 2011 v zadevi C-145/10–</w:t>
      </w:r>
      <w:proofErr w:type="spellStart"/>
      <w:r w:rsidRPr="00BD3DDF">
        <w:rPr>
          <w:rFonts w:eastAsia="Times New Roman" w:cs="Times New Roman"/>
          <w:color w:val="000000" w:themeColor="text1"/>
          <w:szCs w:val="24"/>
          <w:lang w:eastAsia="en-GB"/>
        </w:rPr>
        <w:t>Painer</w:t>
      </w:r>
      <w:proofErr w:type="spellEnd"/>
      <w:r w:rsidRPr="00BD3DDF">
        <w:rPr>
          <w:rFonts w:eastAsia="Times New Roman" w:cs="Times New Roman"/>
          <w:color w:val="000000" w:themeColor="text1"/>
          <w:szCs w:val="24"/>
          <w:lang w:eastAsia="en-GB"/>
        </w:rPr>
        <w:t>.</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SEU sodba z dne 11. 6. 2020 v zadevi C-833/18–</w:t>
      </w:r>
      <w:proofErr w:type="spellStart"/>
      <w:r w:rsidRPr="00BD3DDF">
        <w:rPr>
          <w:rFonts w:eastAsia="Times New Roman" w:cs="Times New Roman"/>
          <w:color w:val="000000" w:themeColor="text1"/>
          <w:szCs w:val="24"/>
          <w:lang w:eastAsia="en-GB"/>
        </w:rPr>
        <w:t>Brompton</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Bicycle</w:t>
      </w:r>
      <w:proofErr w:type="spellEnd"/>
      <w:r w:rsidRPr="00BD3DDF">
        <w:rPr>
          <w:rFonts w:eastAsia="Times New Roman" w:cs="Times New Roman"/>
          <w:color w:val="000000" w:themeColor="text1"/>
          <w:szCs w:val="24"/>
          <w:lang w:eastAsia="en-GB"/>
        </w:rPr>
        <w:t>.</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SEU sodba z dne 12. 9. 2019 v zadevi C-683/17–</w:t>
      </w:r>
      <w:proofErr w:type="spellStart"/>
      <w:r w:rsidRPr="00BD3DDF">
        <w:rPr>
          <w:rFonts w:eastAsia="Times New Roman" w:cs="Times New Roman"/>
          <w:color w:val="000000" w:themeColor="text1"/>
          <w:szCs w:val="24"/>
          <w:lang w:eastAsia="en-GB"/>
        </w:rPr>
        <w:t>Cofemel</w:t>
      </w:r>
      <w:proofErr w:type="spellEnd"/>
      <w:r w:rsidRPr="00BD3DDF">
        <w:rPr>
          <w:rFonts w:eastAsia="Times New Roman" w:cs="Times New Roman"/>
          <w:color w:val="000000" w:themeColor="text1"/>
          <w:szCs w:val="24"/>
          <w:lang w:eastAsia="en-GB"/>
        </w:rPr>
        <w:t>.</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SEU sodba z dne 16. 7. 2009 v zadevi C-5/08–</w:t>
      </w:r>
      <w:proofErr w:type="spellStart"/>
      <w:r w:rsidRPr="00BD3DDF">
        <w:rPr>
          <w:rFonts w:eastAsia="Times New Roman" w:cs="Times New Roman"/>
          <w:color w:val="000000" w:themeColor="text1"/>
          <w:szCs w:val="24"/>
          <w:lang w:eastAsia="en-GB"/>
        </w:rPr>
        <w:t>Infopaq</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International</w:t>
      </w:r>
      <w:proofErr w:type="spellEnd"/>
      <w:r w:rsidRPr="00BD3DDF">
        <w:rPr>
          <w:rFonts w:eastAsia="Times New Roman" w:cs="Times New Roman"/>
          <w:color w:val="000000" w:themeColor="text1"/>
          <w:szCs w:val="24"/>
          <w:lang w:eastAsia="en-GB"/>
        </w:rPr>
        <w:t>.</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SEU sodba z dne 2. 5. 2012 v zadevi C-406/10–SAS Institute.</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SEU sodba z dne 21. 12. 2023 v zadevi C-333/21-European </w:t>
      </w:r>
      <w:proofErr w:type="spellStart"/>
      <w:r w:rsidRPr="00BD3DDF">
        <w:rPr>
          <w:rFonts w:eastAsia="Times New Roman" w:cs="Times New Roman"/>
          <w:color w:val="000000" w:themeColor="text1"/>
          <w:szCs w:val="24"/>
          <w:lang w:eastAsia="en-GB"/>
        </w:rPr>
        <w:t>Superleague</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Company</w:t>
      </w:r>
      <w:proofErr w:type="spellEnd"/>
      <w:r w:rsidRPr="00BD3DDF">
        <w:rPr>
          <w:rFonts w:eastAsia="Times New Roman" w:cs="Times New Roman"/>
          <w:color w:val="000000" w:themeColor="text1"/>
          <w:szCs w:val="24"/>
          <w:lang w:eastAsia="en-GB"/>
        </w:rPr>
        <w:t>.</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szCs w:val="24"/>
        </w:rPr>
        <w:t>SEU sodba z dne 22. 12. 2010 v zadevi C-393/09–BSA.</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SEU sodba z dne 4. 10. 2011 v zadevi C-403/08 in C-429/08-FAPL.</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SEU sodba z dne 5. 10. 2009 v zadevi C-393/09-Bezpečnostní </w:t>
      </w:r>
      <w:proofErr w:type="spellStart"/>
      <w:r w:rsidRPr="00BD3DDF">
        <w:rPr>
          <w:rFonts w:eastAsia="Times New Roman" w:cs="Times New Roman"/>
          <w:color w:val="000000" w:themeColor="text1"/>
          <w:szCs w:val="24"/>
          <w:lang w:eastAsia="en-GB"/>
        </w:rPr>
        <w:t>softwarová</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asociace</w:t>
      </w:r>
      <w:proofErr w:type="spellEnd"/>
      <w:r w:rsidRPr="00BD3DDF">
        <w:rPr>
          <w:rFonts w:eastAsia="Times New Roman" w:cs="Times New Roman"/>
          <w:color w:val="000000" w:themeColor="text1"/>
          <w:szCs w:val="24"/>
          <w:lang w:eastAsia="en-GB"/>
        </w:rPr>
        <w:t>.</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szCs w:val="24"/>
        </w:rPr>
        <w:t>SEU sodba z dne 7. 8. 2018 v zadevi C-161/17–</w:t>
      </w:r>
      <w:proofErr w:type="spellStart"/>
      <w:r w:rsidRPr="00BD3DDF">
        <w:rPr>
          <w:szCs w:val="24"/>
        </w:rPr>
        <w:t>Renckhoff</w:t>
      </w:r>
      <w:proofErr w:type="spellEnd"/>
      <w:r w:rsidRPr="00BD3DDF">
        <w:rPr>
          <w:szCs w:val="24"/>
        </w:rPr>
        <w:t>.</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Sodba SEU z dne 29. septembra 1998 v zadevi C-39/97-Metro-Goldwyn-Mayer.</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Sodba Splošnega sodišča T-510/15 z dne 2. februarja 2017 v zadevi Roberto </w:t>
      </w:r>
      <w:proofErr w:type="spellStart"/>
      <w:r w:rsidRPr="00BD3DDF">
        <w:rPr>
          <w:rFonts w:eastAsia="Times New Roman" w:cs="Times New Roman"/>
          <w:color w:val="000000" w:themeColor="text1"/>
          <w:szCs w:val="24"/>
          <w:lang w:eastAsia="en-GB"/>
        </w:rPr>
        <w:t>Mengozzi</w:t>
      </w:r>
      <w:proofErr w:type="spellEnd"/>
      <w:r w:rsidRPr="00BD3DDF">
        <w:rPr>
          <w:rFonts w:eastAsia="Times New Roman" w:cs="Times New Roman"/>
          <w:color w:val="000000" w:themeColor="text1"/>
          <w:szCs w:val="24"/>
          <w:lang w:eastAsia="en-GB"/>
        </w:rPr>
        <w:t xml:space="preserve"> proti EUIPO.</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Uredba (EU) 2017/1001 Evropskega parlamenta in Sveta z dne 14. junija 2017 o blagovni znamki Evropske unije (UL L 154, 16.6.2017, str. 1–99.</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lastRenderedPageBreak/>
        <w:t>Uredba (EU) 2024/1143 Evropskega parlamenta in Sveta z dne 11. aprila 2024 o geografskih označbah za vino, žgane pijače in kmetijske proizvode ter zajamčenih tradicionalnih posebnostih in neobveznih navedbah kakovosti za kmetijske proizvode. UL L, 2024/1143, 23. 4. 2024.</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Uredba (EU) št. 1308/2013 z dne 17. decembra 2013 o vzpostavitvi skupne ureditve trgov kmetijskih proizvodov. UL L 347, 20.12.2013, str. 671–854.</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Uredba Komisije (ES) št. 583/2009 z dne 3. julija 2009 o vpisu označbe v register zaščitenih označb porekla in zaščitenih geografskih označb (</w:t>
      </w:r>
      <w:proofErr w:type="spellStart"/>
      <w:r w:rsidRPr="00BD3DDF">
        <w:rPr>
          <w:rFonts w:eastAsia="Times New Roman" w:cs="Times New Roman"/>
          <w:color w:val="000000" w:themeColor="text1"/>
          <w:szCs w:val="24"/>
          <w:lang w:eastAsia="en-GB"/>
        </w:rPr>
        <w:t>Aceto</w:t>
      </w:r>
      <w:proofErr w:type="spellEnd"/>
      <w:r w:rsidRPr="00BD3DDF">
        <w:rPr>
          <w:rFonts w:eastAsia="Times New Roman" w:cs="Times New Roman"/>
          <w:color w:val="000000" w:themeColor="text1"/>
          <w:szCs w:val="24"/>
          <w:lang w:eastAsia="en-GB"/>
        </w:rPr>
        <w:t xml:space="preserve"> </w:t>
      </w:r>
      <w:proofErr w:type="spellStart"/>
      <w:r w:rsidRPr="00BD3DDF">
        <w:rPr>
          <w:rFonts w:eastAsia="Times New Roman" w:cs="Times New Roman"/>
          <w:color w:val="000000" w:themeColor="text1"/>
          <w:szCs w:val="24"/>
          <w:lang w:eastAsia="en-GB"/>
        </w:rPr>
        <w:t>Balsamico</w:t>
      </w:r>
      <w:proofErr w:type="spellEnd"/>
      <w:r w:rsidRPr="00BD3DDF">
        <w:rPr>
          <w:rFonts w:eastAsia="Times New Roman" w:cs="Times New Roman"/>
          <w:color w:val="000000" w:themeColor="text1"/>
          <w:szCs w:val="24"/>
          <w:lang w:eastAsia="en-GB"/>
        </w:rPr>
        <w:t xml:space="preserve"> di Modena (ZGO)). UL L 175/7, 4. 6. 2009.</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Uredba Sveta (ES) št. 40/94 z dne 20. decembra 1993 o znamki Skupnosti. UL L 11, 14.1.1994, str. 1–36.</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Uredba Sveta (ES) št. 6/2002 z dne 12. decembra 2001 o modelih Skupnosti. UL L 003, 05.01.2002, str. 1-24.</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Ustava Republike Slovenije. Uradni list RS, št. 33/91-I, 42/97 – UZS68, 66/00 – UZ80, 24/03 – UZ3a, 47, 68, 69/04 – UZ14, 69/04 – UZ43, 69/04 – UZ50, 68/06 – UZ121,140,143, 47/13 – UZ148, 47/13 – UZ90,97,99, 75/16 – UZ70a in 92/21 – UZ62a.</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Sklep I </w:t>
      </w:r>
      <w:proofErr w:type="spellStart"/>
      <w:r w:rsidRPr="00BD3DDF">
        <w:rPr>
          <w:rFonts w:eastAsia="Times New Roman" w:cs="Times New Roman"/>
          <w:color w:val="000000" w:themeColor="text1"/>
          <w:szCs w:val="24"/>
          <w:lang w:eastAsia="en-GB"/>
        </w:rPr>
        <w:t>Cp</w:t>
      </w:r>
      <w:proofErr w:type="spellEnd"/>
      <w:r w:rsidRPr="00BD3DDF">
        <w:rPr>
          <w:rFonts w:eastAsia="Times New Roman" w:cs="Times New Roman"/>
          <w:color w:val="000000" w:themeColor="text1"/>
          <w:szCs w:val="24"/>
          <w:lang w:eastAsia="en-GB"/>
        </w:rPr>
        <w:t xml:space="preserve"> 1697/2025 z dne 7. oktobra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Sklep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25/2025 z dne 20. februarja 2025.</w:t>
      </w:r>
      <w:r w:rsidRPr="00BD3DDF">
        <w:rPr>
          <w:rFonts w:eastAsia="Times New Roman" w:cs="Times New Roman"/>
          <w:color w:val="000000" w:themeColor="text1"/>
          <w:szCs w:val="24"/>
          <w:lang w:eastAsia="en-GB"/>
        </w:rPr>
        <w:tab/>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Sklep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272/2025 z dne 10. julija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Sklep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304/2024 z dne 1. aprila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Sklep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306/2025 z dne 11. septembra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Sklep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75/2025 z dne 1. aprila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I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148/2024 z dne 12. marca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in sklep II </w:t>
      </w:r>
      <w:proofErr w:type="spellStart"/>
      <w:r w:rsidRPr="00BD3DDF">
        <w:rPr>
          <w:rFonts w:eastAsia="Times New Roman" w:cs="Times New Roman"/>
          <w:color w:val="000000" w:themeColor="text1"/>
          <w:szCs w:val="24"/>
          <w:lang w:eastAsia="en-GB"/>
        </w:rPr>
        <w:t>Cp</w:t>
      </w:r>
      <w:proofErr w:type="spellEnd"/>
      <w:r w:rsidRPr="00BD3DDF">
        <w:rPr>
          <w:rFonts w:eastAsia="Times New Roman" w:cs="Times New Roman"/>
          <w:color w:val="000000" w:themeColor="text1"/>
          <w:szCs w:val="24"/>
          <w:lang w:eastAsia="en-GB"/>
        </w:rPr>
        <w:t xml:space="preserve"> 197/2024 z dne 31. julija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in sklep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573/2023 z dne 1. aprila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102/2025 z dne 11. septembra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103/2025 z dne 14. maja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119/2024 z dne 14. maja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134/2024 z dne 20. februarja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209/2024 z dne 17. decembra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481/2024 z dne 14. maja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VSL Sodba V </w:t>
      </w:r>
      <w:proofErr w:type="spellStart"/>
      <w:r w:rsidRPr="00BD3DDF">
        <w:rPr>
          <w:rFonts w:eastAsia="Times New Roman" w:cs="Times New Roman"/>
          <w:color w:val="000000" w:themeColor="text1"/>
          <w:szCs w:val="24"/>
          <w:lang w:eastAsia="en-GB"/>
        </w:rPr>
        <w:t>Cpg</w:t>
      </w:r>
      <w:proofErr w:type="spellEnd"/>
      <w:r w:rsidRPr="00BD3DDF">
        <w:rPr>
          <w:rFonts w:eastAsia="Times New Roman" w:cs="Times New Roman"/>
          <w:color w:val="000000" w:themeColor="text1"/>
          <w:szCs w:val="24"/>
          <w:lang w:eastAsia="en-GB"/>
        </w:rPr>
        <w:t xml:space="preserve"> 505/2024 z dne 16. oktobra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lastRenderedPageBreak/>
        <w:t xml:space="preserve">VSRS Sklep III </w:t>
      </w:r>
      <w:proofErr w:type="spellStart"/>
      <w:r w:rsidRPr="00BD3DDF">
        <w:rPr>
          <w:rFonts w:eastAsia="Times New Roman" w:cs="Times New Roman"/>
          <w:color w:val="000000" w:themeColor="text1"/>
          <w:szCs w:val="24"/>
          <w:lang w:eastAsia="en-GB"/>
        </w:rPr>
        <w:t>DoR</w:t>
      </w:r>
      <w:proofErr w:type="spellEnd"/>
      <w:r w:rsidRPr="00BD3DDF">
        <w:rPr>
          <w:rFonts w:eastAsia="Times New Roman" w:cs="Times New Roman"/>
          <w:color w:val="000000" w:themeColor="text1"/>
          <w:szCs w:val="24"/>
          <w:lang w:eastAsia="en-GB"/>
        </w:rPr>
        <w:t xml:space="preserve"> 4/2024 z dne 14. 5. 2024.</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VSRS Sodba III </w:t>
      </w:r>
      <w:proofErr w:type="spellStart"/>
      <w:r w:rsidRPr="00BD3DDF">
        <w:rPr>
          <w:rFonts w:eastAsia="Times New Roman" w:cs="Times New Roman"/>
          <w:color w:val="000000" w:themeColor="text1"/>
          <w:szCs w:val="24"/>
          <w:lang w:eastAsia="en-GB"/>
        </w:rPr>
        <w:t>Ips</w:t>
      </w:r>
      <w:proofErr w:type="spellEnd"/>
      <w:r w:rsidRPr="00BD3DDF">
        <w:rPr>
          <w:rFonts w:eastAsia="Times New Roman" w:cs="Times New Roman"/>
          <w:color w:val="000000" w:themeColor="text1"/>
          <w:szCs w:val="24"/>
          <w:lang w:eastAsia="en-GB"/>
        </w:rPr>
        <w:t xml:space="preserve"> 18/2024 z dne 8. septembra 2025.</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Zakon o avtorski in sorodnih pravicah (ZASP). Uradni list RS, št. 16/07 – uradno prečiščeno besedilo, 68/08, 110/13, 56/15, 63/16 – ZKUASP, 59/19 in 130/22.</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 xml:space="preserve">Zakon o gospodarskih družbah (ZGD-1). Uradni list RS, št. 65/09 – uradno prečiščeno besedilo, 33/11, 91/11, 32/12, 57/12, 44/13 – </w:t>
      </w:r>
      <w:proofErr w:type="spellStart"/>
      <w:r w:rsidRPr="00BD3DDF">
        <w:rPr>
          <w:rFonts w:eastAsia="Times New Roman" w:cs="Times New Roman"/>
          <w:color w:val="000000" w:themeColor="text1"/>
          <w:szCs w:val="24"/>
          <w:lang w:eastAsia="en-GB"/>
        </w:rPr>
        <w:t>odl</w:t>
      </w:r>
      <w:proofErr w:type="spellEnd"/>
      <w:r w:rsidRPr="00BD3DDF">
        <w:rPr>
          <w:rFonts w:eastAsia="Times New Roman" w:cs="Times New Roman"/>
          <w:color w:val="000000" w:themeColor="text1"/>
          <w:szCs w:val="24"/>
          <w:lang w:eastAsia="en-GB"/>
        </w:rPr>
        <w:t xml:space="preserve">. US, 82/13, 55/15, 15/17, 22/19 – </w:t>
      </w:r>
      <w:proofErr w:type="spellStart"/>
      <w:r w:rsidRPr="00BD3DDF">
        <w:rPr>
          <w:rFonts w:eastAsia="Times New Roman" w:cs="Times New Roman"/>
          <w:color w:val="000000" w:themeColor="text1"/>
          <w:szCs w:val="24"/>
          <w:lang w:eastAsia="en-GB"/>
        </w:rPr>
        <w:t>ZPosS</w:t>
      </w:r>
      <w:proofErr w:type="spellEnd"/>
      <w:r w:rsidRPr="00BD3DDF">
        <w:rPr>
          <w:rFonts w:eastAsia="Times New Roman" w:cs="Times New Roman"/>
          <w:color w:val="000000" w:themeColor="text1"/>
          <w:szCs w:val="24"/>
          <w:lang w:eastAsia="en-GB"/>
        </w:rPr>
        <w:t xml:space="preserve">, 158/20 – </w:t>
      </w:r>
      <w:proofErr w:type="spellStart"/>
      <w:r w:rsidRPr="00BD3DDF">
        <w:rPr>
          <w:rFonts w:eastAsia="Times New Roman" w:cs="Times New Roman"/>
          <w:color w:val="000000" w:themeColor="text1"/>
          <w:szCs w:val="24"/>
          <w:lang w:eastAsia="en-GB"/>
        </w:rPr>
        <w:t>ZIntPK</w:t>
      </w:r>
      <w:proofErr w:type="spellEnd"/>
      <w:r w:rsidRPr="00BD3DDF">
        <w:rPr>
          <w:rFonts w:eastAsia="Times New Roman" w:cs="Times New Roman"/>
          <w:color w:val="000000" w:themeColor="text1"/>
          <w:szCs w:val="24"/>
          <w:lang w:eastAsia="en-GB"/>
        </w:rPr>
        <w:t>-C, 18/21, 18/23 – ZDU-1O, 75/23 in 102/24.</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Zakon o industrijski lastnini (ZIL-1). Uradni list RS, št. 51/06 – uradno prečiščeno besedilo, 100/13, 23/20 in 76/23.</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Zakon o kolektivnem upravljanju avtorske in sorodnih pravic (ZKUASP). Uradni list RS, št. 63/16 in 130/22.</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Zakon o poslovni skrivnosti (</w:t>
      </w:r>
      <w:proofErr w:type="spellStart"/>
      <w:r w:rsidRPr="00BD3DDF">
        <w:rPr>
          <w:rFonts w:eastAsia="Times New Roman" w:cs="Times New Roman"/>
          <w:color w:val="000000" w:themeColor="text1"/>
          <w:szCs w:val="24"/>
          <w:lang w:eastAsia="en-GB"/>
        </w:rPr>
        <w:t>ZPosS</w:t>
      </w:r>
      <w:proofErr w:type="spellEnd"/>
      <w:r w:rsidRPr="00BD3DDF">
        <w:rPr>
          <w:rFonts w:eastAsia="Times New Roman" w:cs="Times New Roman"/>
          <w:color w:val="000000" w:themeColor="text1"/>
          <w:szCs w:val="24"/>
          <w:lang w:eastAsia="en-GB"/>
        </w:rPr>
        <w:t>). Uradni list RS, št. 22/19.</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Zakon o preprečevanju omejevanja (ZPOmK-2). Uradni list RS, št. 130/22, 12/24 in 100/25 – ZS-1.</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Zakon o ratifikaciji Konvencije o podeljevanju Evropskih patentov. MKPEP, št. 19, Uradni list RS št. 68. Mednarodne pogodbe, 30. 7. 2002.</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Zakon o spremembah in dopolnitvah Zakona o industrijski lastnini (ZIL-1E). Uradni list RS, št. 23/20.</w:t>
      </w:r>
    </w:p>
    <w:p w:rsidR="00BD3DDF" w:rsidRPr="00BD3DDF" w:rsidRDefault="00BD3DDF" w:rsidP="00BD3DDF">
      <w:pPr>
        <w:pStyle w:val="Odstavekseznama"/>
        <w:numPr>
          <w:ilvl w:val="0"/>
          <w:numId w:val="34"/>
        </w:numPr>
        <w:spacing w:before="0" w:after="0"/>
        <w:rPr>
          <w:rFonts w:eastAsia="Times New Roman" w:cs="Times New Roman"/>
          <w:color w:val="000000" w:themeColor="text1"/>
          <w:szCs w:val="24"/>
          <w:lang w:eastAsia="en-GB"/>
        </w:rPr>
      </w:pPr>
      <w:r w:rsidRPr="00BD3DDF">
        <w:rPr>
          <w:rFonts w:eastAsia="Times New Roman" w:cs="Times New Roman"/>
          <w:color w:val="000000" w:themeColor="text1"/>
          <w:szCs w:val="24"/>
          <w:lang w:eastAsia="en-GB"/>
        </w:rPr>
        <w:t>Zvezno patentno sodišče (</w:t>
      </w:r>
      <w:proofErr w:type="spellStart"/>
      <w:r w:rsidRPr="00BD3DDF">
        <w:rPr>
          <w:rFonts w:eastAsia="Times New Roman" w:cs="Times New Roman"/>
          <w:color w:val="000000" w:themeColor="text1"/>
          <w:szCs w:val="24"/>
          <w:lang w:eastAsia="en-GB"/>
        </w:rPr>
        <w:t>Bundespatentgericht</w:t>
      </w:r>
      <w:proofErr w:type="spellEnd"/>
      <w:r w:rsidRPr="00BD3DDF">
        <w:rPr>
          <w:rFonts w:eastAsia="Times New Roman" w:cs="Times New Roman"/>
          <w:color w:val="000000" w:themeColor="text1"/>
          <w:szCs w:val="24"/>
          <w:lang w:eastAsia="en-GB"/>
        </w:rPr>
        <w:t>). Sodba z dne 29. 7. 2025 v zadevi 3 Ni 11/22 (EP).</w:t>
      </w:r>
    </w:p>
    <w:p w:rsidR="00EE107E" w:rsidRDefault="00EE107E">
      <w:pPr>
        <w:rPr>
          <w:rFonts w:asciiTheme="majorHAnsi" w:hAnsiTheme="majorHAnsi" w:cs="Arial"/>
          <w:b/>
          <w:szCs w:val="24"/>
        </w:rPr>
      </w:pPr>
      <w:r>
        <w:rPr>
          <w:rFonts w:asciiTheme="majorHAnsi" w:hAnsiTheme="majorHAnsi" w:cs="Arial"/>
          <w:b/>
          <w:szCs w:val="24"/>
        </w:rPr>
        <w:br w:type="page"/>
      </w:r>
    </w:p>
    <w:p w:rsidR="002D1859" w:rsidRPr="00BD3DDF" w:rsidRDefault="002D1859">
      <w:pPr>
        <w:rPr>
          <w:rFonts w:asciiTheme="majorHAnsi" w:hAnsiTheme="majorHAnsi" w:cs="Arial"/>
          <w:b/>
          <w:szCs w:val="24"/>
        </w:rPr>
      </w:pPr>
    </w:p>
    <w:p w:rsidR="002D1859" w:rsidRPr="00BD3DDF" w:rsidRDefault="002D1859" w:rsidP="00712B8E">
      <w:pPr>
        <w:pStyle w:val="Naslov1"/>
        <w:numPr>
          <w:ilvl w:val="0"/>
          <w:numId w:val="0"/>
        </w:numPr>
      </w:pPr>
      <w:bookmarkStart w:id="94" w:name="_Toc227678380"/>
      <w:r w:rsidRPr="00BD3DDF">
        <w:t>Predstavitev avtoric</w:t>
      </w:r>
      <w:bookmarkEnd w:id="94"/>
    </w:p>
    <w:p w:rsidR="002D1859" w:rsidRPr="00BD3DDF" w:rsidRDefault="00BD3DDF" w:rsidP="002D1859">
      <w:pPr>
        <w:rPr>
          <w:rFonts w:cs="Arial"/>
          <w:szCs w:val="24"/>
        </w:rPr>
      </w:pPr>
      <w:r w:rsidRPr="00BD3DDF">
        <w:rPr>
          <w:rFonts w:cs="Arial"/>
          <w:b/>
          <w:bCs/>
          <w:szCs w:val="24"/>
        </w:rPr>
        <w:t>D</w:t>
      </w:r>
      <w:r w:rsidR="002D1859" w:rsidRPr="00BD3DDF">
        <w:rPr>
          <w:rFonts w:cs="Arial"/>
          <w:b/>
          <w:bCs/>
          <w:szCs w:val="24"/>
        </w:rPr>
        <w:t>r. Eneja Drobež</w:t>
      </w:r>
      <w:r w:rsidR="002D1859" w:rsidRPr="00BD3DDF">
        <w:rPr>
          <w:rFonts w:cs="Arial"/>
          <w:szCs w:val="24"/>
        </w:rPr>
        <w:t xml:space="preserve"> je svetovalka Ustavnega sodišča, </w:t>
      </w:r>
      <w:r w:rsidR="00534F73" w:rsidRPr="00BD3DDF">
        <w:rPr>
          <w:rFonts w:cs="Arial"/>
          <w:szCs w:val="24"/>
        </w:rPr>
        <w:t>izredna profesorica</w:t>
      </w:r>
      <w:r w:rsidR="002D1859" w:rsidRPr="00BD3DDF">
        <w:rPr>
          <w:rFonts w:cs="Arial"/>
          <w:szCs w:val="24"/>
        </w:rPr>
        <w:t xml:space="preserve"> za gospodarsko in civilno pravo na Evropski pravni fakulteti Nove univerze ter raziskovalka na Zavodu INRISK. Na </w:t>
      </w:r>
      <w:r w:rsidR="00FA2880" w:rsidRPr="00BD3DDF">
        <w:rPr>
          <w:rFonts w:cs="Arial"/>
          <w:szCs w:val="24"/>
        </w:rPr>
        <w:t>univerzi</w:t>
      </w:r>
      <w:r w:rsidR="002D1859" w:rsidRPr="00BD3DDF">
        <w:rPr>
          <w:rFonts w:cs="Arial"/>
          <w:szCs w:val="24"/>
        </w:rPr>
        <w:t xml:space="preserve"> je nosilka predmetov Mednarodno zasebno pravo in Pravo intelektualne lastnine.</w:t>
      </w:r>
      <w:r w:rsidR="00534F73" w:rsidRPr="00BD3DDF">
        <w:rPr>
          <w:rFonts w:cs="Arial"/>
          <w:szCs w:val="24"/>
        </w:rPr>
        <w:t xml:space="preserve"> Na Zavodu INRISK je vodja raziskovalnih projektov, med drugim na pod</w:t>
      </w:r>
      <w:r w:rsidR="00FA2880" w:rsidRPr="00BD3DDF">
        <w:rPr>
          <w:rFonts w:cs="Arial"/>
          <w:szCs w:val="24"/>
        </w:rPr>
        <w:t>ro</w:t>
      </w:r>
      <w:r w:rsidR="00534F73" w:rsidRPr="00BD3DDF">
        <w:rPr>
          <w:rFonts w:cs="Arial"/>
          <w:szCs w:val="24"/>
        </w:rPr>
        <w:t>čju kolektivnega upravljanja avtorske in sorodnih pravic.</w:t>
      </w:r>
      <w:r w:rsidR="002D1859" w:rsidRPr="00BD3DDF">
        <w:rPr>
          <w:rFonts w:cs="Arial"/>
          <w:szCs w:val="24"/>
        </w:rPr>
        <w:t xml:space="preserve"> Na Ustavnem sodišču dela za kazenski senat. Njeno področje dela je zelo raznoliko, saj obsega kazensko, gospodarsko ter civilno pravo in pravo intelektualne lastnine. Dr. Drobež redno predava na sodniških šolah in na konferencah GV založbe ter je avtorica več monografij in člankov z omenjenih pravnih področij.</w:t>
      </w:r>
    </w:p>
    <w:p w:rsidR="002D1859" w:rsidRPr="00BD3DDF" w:rsidRDefault="002D1859" w:rsidP="002D1859">
      <w:pPr>
        <w:rPr>
          <w:rFonts w:cs="Arial"/>
          <w:szCs w:val="24"/>
        </w:rPr>
      </w:pPr>
      <w:r w:rsidRPr="00BD3DDF">
        <w:rPr>
          <w:rFonts w:cs="Arial"/>
          <w:b/>
          <w:bCs/>
          <w:szCs w:val="24"/>
        </w:rPr>
        <w:t xml:space="preserve">Magda </w:t>
      </w:r>
      <w:proofErr w:type="spellStart"/>
      <w:r w:rsidRPr="00BD3DDF">
        <w:rPr>
          <w:rFonts w:cs="Arial"/>
          <w:b/>
          <w:bCs/>
          <w:szCs w:val="24"/>
        </w:rPr>
        <w:t>Teppey</w:t>
      </w:r>
      <w:proofErr w:type="spellEnd"/>
      <w:r w:rsidRPr="00BD3DDF">
        <w:rPr>
          <w:rFonts w:cs="Arial"/>
          <w:szCs w:val="24"/>
        </w:rPr>
        <w:t xml:space="preserve"> je sodnica Vrhovnega sodišča Republike Slovenije. Po delu kot pravna svetovalka v gospodarskem sektorju ter pri Gospodarski zbornici Slovenije je bila od leta 1998 do leta 2008 sodnica na Okrožnem sodišču v Ljubljani, od leta 2008 do leta 2022 pa je bila sodnica Višjega sodišča v Ljubljani. Sodelovala je kot članica senata, specializiranega za zadeve s področja intelektualne lastnine in nelojalne konkurence. Vrhovno sodnica </w:t>
      </w:r>
      <w:proofErr w:type="spellStart"/>
      <w:r w:rsidRPr="00BD3DDF">
        <w:rPr>
          <w:rFonts w:cs="Arial"/>
          <w:szCs w:val="24"/>
        </w:rPr>
        <w:t>Teppey</w:t>
      </w:r>
      <w:proofErr w:type="spellEnd"/>
      <w:r w:rsidRPr="00BD3DDF">
        <w:rPr>
          <w:rFonts w:cs="Arial"/>
          <w:szCs w:val="24"/>
        </w:rPr>
        <w:t xml:space="preserve"> redno sodeluje s prispevki na seminarjih in sodniških šolah v Sloveniji ter v tujini. Je članica pobude </w:t>
      </w:r>
      <w:proofErr w:type="spellStart"/>
      <w:r w:rsidRPr="00BD3DDF">
        <w:rPr>
          <w:rFonts w:cs="Arial"/>
          <w:szCs w:val="24"/>
        </w:rPr>
        <w:t>Judges</w:t>
      </w:r>
      <w:proofErr w:type="spellEnd"/>
      <w:r w:rsidRPr="00BD3DDF">
        <w:rPr>
          <w:rFonts w:cs="Arial"/>
          <w:szCs w:val="24"/>
        </w:rPr>
        <w:t xml:space="preserve"> </w:t>
      </w:r>
      <w:proofErr w:type="spellStart"/>
      <w:r w:rsidRPr="00BD3DDF">
        <w:rPr>
          <w:rFonts w:cs="Arial"/>
          <w:szCs w:val="24"/>
        </w:rPr>
        <w:t>Quality</w:t>
      </w:r>
      <w:proofErr w:type="spellEnd"/>
      <w:r w:rsidRPr="00BD3DDF">
        <w:rPr>
          <w:rFonts w:cs="Arial"/>
          <w:szCs w:val="24"/>
        </w:rPr>
        <w:t xml:space="preserve"> </w:t>
      </w:r>
      <w:proofErr w:type="spellStart"/>
      <w:r w:rsidRPr="00BD3DDF">
        <w:rPr>
          <w:rFonts w:cs="Arial"/>
          <w:szCs w:val="24"/>
        </w:rPr>
        <w:t>of</w:t>
      </w:r>
      <w:proofErr w:type="spellEnd"/>
      <w:r w:rsidRPr="00BD3DDF">
        <w:rPr>
          <w:rFonts w:cs="Arial"/>
          <w:szCs w:val="24"/>
        </w:rPr>
        <w:t xml:space="preserve"> </w:t>
      </w:r>
      <w:proofErr w:type="spellStart"/>
      <w:r w:rsidRPr="00BD3DDF">
        <w:rPr>
          <w:rFonts w:cs="Arial"/>
          <w:szCs w:val="24"/>
        </w:rPr>
        <w:t>Assurance</w:t>
      </w:r>
      <w:proofErr w:type="spellEnd"/>
      <w:r w:rsidRPr="00BD3DDF">
        <w:rPr>
          <w:rFonts w:cs="Arial"/>
          <w:szCs w:val="24"/>
        </w:rPr>
        <w:t xml:space="preserve"> </w:t>
      </w:r>
      <w:proofErr w:type="spellStart"/>
      <w:r w:rsidRPr="00BD3DDF">
        <w:rPr>
          <w:rFonts w:cs="Arial"/>
          <w:szCs w:val="24"/>
        </w:rPr>
        <w:t>and</w:t>
      </w:r>
      <w:proofErr w:type="spellEnd"/>
      <w:r w:rsidRPr="00BD3DDF">
        <w:rPr>
          <w:rFonts w:cs="Arial"/>
          <w:szCs w:val="24"/>
        </w:rPr>
        <w:t xml:space="preserve"> Legal </w:t>
      </w:r>
      <w:proofErr w:type="spellStart"/>
      <w:r w:rsidRPr="00BD3DDF">
        <w:rPr>
          <w:rFonts w:cs="Arial"/>
          <w:szCs w:val="24"/>
        </w:rPr>
        <w:t>Practice</w:t>
      </w:r>
      <w:proofErr w:type="spellEnd"/>
      <w:r w:rsidRPr="00BD3DDF">
        <w:rPr>
          <w:rFonts w:cs="Arial"/>
          <w:szCs w:val="24"/>
        </w:rPr>
        <w:t xml:space="preserve"> Panel pri pritožbenih senatih Urada EU za intelektualno lastnino (EUIPO). Od leta 2021 je članica razširjenega pritožbenega senata Evropskega patentnega urada in nadomestna članica svetovalnega odbora Enotnega patentnega sodišča.</w:t>
      </w:r>
    </w:p>
    <w:p w:rsidR="002D1859" w:rsidRPr="00BD3DDF" w:rsidRDefault="002D1859" w:rsidP="002D1859"/>
    <w:sectPr w:rsidR="002D1859" w:rsidRPr="00BD3DDF" w:rsidSect="005E6D51">
      <w:pgSz w:w="11900" w:h="16840"/>
      <w:pgMar w:top="1440" w:right="1080" w:bottom="1440" w:left="108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40DE" w:rsidRDefault="003E40DE" w:rsidP="0072045B">
      <w:pPr>
        <w:spacing w:before="0" w:after="0" w:line="240" w:lineRule="auto"/>
      </w:pPr>
      <w:r>
        <w:separator/>
      </w:r>
    </w:p>
  </w:endnote>
  <w:endnote w:type="continuationSeparator" w:id="0">
    <w:p w:rsidR="003E40DE" w:rsidRDefault="003E40DE" w:rsidP="0072045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badi">
    <w:charset w:val="00"/>
    <w:family w:val="swiss"/>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tevilkastrani"/>
      </w:rPr>
      <w:id w:val="-497414266"/>
      <w:docPartObj>
        <w:docPartGallery w:val="Page Numbers (Bottom of Page)"/>
        <w:docPartUnique/>
      </w:docPartObj>
    </w:sdtPr>
    <w:sdtEndPr>
      <w:rPr>
        <w:rStyle w:val="tevilkastrani"/>
      </w:rPr>
    </w:sdtEndPr>
    <w:sdtContent>
      <w:p w:rsidR="007E47B1" w:rsidRDefault="007E47B1" w:rsidP="00A813E5">
        <w:pPr>
          <w:pStyle w:val="Noga"/>
          <w:framePr w:wrap="none" w:vAnchor="text" w:hAnchor="margin" w:xAlign="right" w:y="1"/>
          <w:rPr>
            <w:rStyle w:val="tevilkastrani"/>
          </w:rPr>
        </w:pPr>
        <w:r>
          <w:rPr>
            <w:rStyle w:val="tevilkastrani"/>
          </w:rPr>
          <w:fldChar w:fldCharType="begin"/>
        </w:r>
        <w:r>
          <w:rPr>
            <w:rStyle w:val="tevilkastrani"/>
          </w:rPr>
          <w:instrText xml:space="preserve"> PAGE </w:instrText>
        </w:r>
        <w:r>
          <w:rPr>
            <w:rStyle w:val="tevilkastrani"/>
          </w:rPr>
          <w:fldChar w:fldCharType="end"/>
        </w:r>
      </w:p>
    </w:sdtContent>
  </w:sdt>
  <w:p w:rsidR="007E47B1" w:rsidRDefault="007E47B1" w:rsidP="00837949">
    <w:pPr>
      <w:pStyle w:val="Nog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47B1" w:rsidRDefault="007E47B1" w:rsidP="00837949">
    <w:pPr>
      <w:pStyle w:val="Nog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0970203"/>
      <w:docPartObj>
        <w:docPartGallery w:val="Page Numbers (Bottom of Page)"/>
        <w:docPartUnique/>
      </w:docPartObj>
    </w:sdtPr>
    <w:sdtEndPr/>
    <w:sdtContent>
      <w:p w:rsidR="007E47B1" w:rsidRDefault="003E40DE">
        <w:pPr>
          <w:pStyle w:val="Noga"/>
          <w:jc w:val="right"/>
        </w:pPr>
      </w:p>
    </w:sdtContent>
  </w:sdt>
  <w:p w:rsidR="007E47B1" w:rsidRDefault="007E47B1">
    <w:pPr>
      <w:pStyle w:val="Nog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3555391"/>
      <w:docPartObj>
        <w:docPartGallery w:val="Page Numbers (Bottom of Page)"/>
        <w:docPartUnique/>
      </w:docPartObj>
    </w:sdtPr>
    <w:sdtEndPr/>
    <w:sdtContent>
      <w:p w:rsidR="007E47B1" w:rsidRDefault="007E47B1">
        <w:pPr>
          <w:pStyle w:val="Noga"/>
          <w:jc w:val="right"/>
        </w:pPr>
        <w:r>
          <w:fldChar w:fldCharType="begin"/>
        </w:r>
        <w:r>
          <w:instrText>PAGE   \* MERGEFORMAT</w:instrText>
        </w:r>
        <w:r>
          <w:fldChar w:fldCharType="separate"/>
        </w:r>
        <w:r w:rsidR="001B08CE">
          <w:rPr>
            <w:noProof/>
          </w:rPr>
          <w:t>10</w:t>
        </w:r>
        <w:r>
          <w:fldChar w:fldCharType="end"/>
        </w:r>
      </w:p>
    </w:sdtContent>
  </w:sdt>
  <w:p w:rsidR="007E47B1" w:rsidRDefault="007E47B1" w:rsidP="00837949">
    <w:pPr>
      <w:pStyle w:val="Nog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40DE" w:rsidRDefault="003E40DE" w:rsidP="0072045B">
      <w:pPr>
        <w:spacing w:before="0" w:after="0" w:line="240" w:lineRule="auto"/>
      </w:pPr>
      <w:r>
        <w:separator/>
      </w:r>
    </w:p>
  </w:footnote>
  <w:footnote w:type="continuationSeparator" w:id="0">
    <w:p w:rsidR="003E40DE" w:rsidRDefault="003E40DE" w:rsidP="0072045B">
      <w:pPr>
        <w:spacing w:before="0" w:after="0" w:line="240" w:lineRule="auto"/>
      </w:pPr>
      <w:r>
        <w:continuationSeparator/>
      </w:r>
    </w:p>
  </w:footnote>
  <w:footnote w:id="1">
    <w:p w:rsidR="007E47B1" w:rsidRPr="00981717" w:rsidRDefault="007E47B1">
      <w:pPr>
        <w:pStyle w:val="Sprotnaopomba-besedilo"/>
        <w:rPr>
          <w:sz w:val="20"/>
        </w:rPr>
      </w:pPr>
      <w:r w:rsidRPr="00981717">
        <w:rPr>
          <w:rStyle w:val="Sprotnaopomba-sklic"/>
          <w:sz w:val="20"/>
        </w:rPr>
        <w:footnoteRef/>
      </w:r>
      <w:r w:rsidRPr="00981717">
        <w:rPr>
          <w:sz w:val="20"/>
        </w:rPr>
        <w:t xml:space="preserve"> UL L št. 157 z dne 30. 4. 2004, str. 45.</w:t>
      </w:r>
    </w:p>
  </w:footnote>
  <w:footnote w:id="2">
    <w:p w:rsidR="007E47B1" w:rsidRPr="00981717" w:rsidRDefault="007E47B1" w:rsidP="00433C3C">
      <w:pPr>
        <w:pStyle w:val="Sprotnaopomba-besedilo"/>
        <w:rPr>
          <w:sz w:val="20"/>
        </w:rPr>
      </w:pPr>
      <w:r w:rsidRPr="00981717">
        <w:rPr>
          <w:rStyle w:val="Sprotnaopomba-sklic"/>
          <w:sz w:val="20"/>
        </w:rPr>
        <w:footnoteRef/>
      </w:r>
      <w:r w:rsidRPr="00981717">
        <w:rPr>
          <w:sz w:val="20"/>
        </w:rPr>
        <w:t xml:space="preserve"> </w:t>
      </w:r>
      <w:hyperlink r:id="rId1" w:history="1">
        <w:r w:rsidRPr="00981717">
          <w:rPr>
            <w:rStyle w:val="Hiperpovezava"/>
            <w:sz w:val="20"/>
          </w:rPr>
          <w:t>https://www.euipo.europa.eu/en/observatory/enforcement/case-law</w:t>
        </w:r>
      </w:hyperlink>
      <w:r w:rsidRPr="00981717">
        <w:rPr>
          <w:sz w:val="20"/>
        </w:rPr>
        <w:t xml:space="preserve"> (nazadnje obiskano 15. 5. 2025).</w:t>
      </w:r>
    </w:p>
  </w:footnote>
  <w:footnote w:id="3">
    <w:p w:rsidR="007E47B1" w:rsidRPr="00981717" w:rsidRDefault="007E47B1" w:rsidP="00AD10C7">
      <w:pPr>
        <w:pStyle w:val="Sprotnaopomba-besedilo"/>
        <w:rPr>
          <w:sz w:val="20"/>
        </w:rPr>
      </w:pPr>
      <w:r w:rsidRPr="00981717">
        <w:rPr>
          <w:rStyle w:val="Sprotnaopomba-sklic"/>
          <w:sz w:val="20"/>
        </w:rPr>
        <w:footnoteRef/>
      </w:r>
      <w:r w:rsidRPr="00981717">
        <w:rPr>
          <w:sz w:val="20"/>
        </w:rPr>
        <w:t xml:space="preserve"> </w:t>
      </w:r>
      <w:bookmarkStart w:id="10" w:name="_Hlk227530868"/>
      <w:r w:rsidRPr="00981717">
        <w:rPr>
          <w:sz w:val="20"/>
        </w:rPr>
        <w:t xml:space="preserve">Mežnar, Š., &amp; Ovčak Kos, M. (2015). Pravna ocena stanja na področju uveljavljanja pravic intelektualne lastnine v RS; Drobež, E., &amp; </w:t>
      </w:r>
      <w:proofErr w:type="spellStart"/>
      <w:r w:rsidRPr="00981717">
        <w:rPr>
          <w:sz w:val="20"/>
        </w:rPr>
        <w:t>Teppey</w:t>
      </w:r>
      <w:proofErr w:type="spellEnd"/>
      <w:r w:rsidRPr="00981717">
        <w:rPr>
          <w:sz w:val="20"/>
        </w:rPr>
        <w:t xml:space="preserve">, M. (2019). Analiza stanja na področju uveljavljanja pravic intelektualne lastnine v Republiki Sloveniji v obdobju od 1. januarja 2015 do 31. decembra 2018; Drobež, E., &amp; </w:t>
      </w:r>
      <w:proofErr w:type="spellStart"/>
      <w:r w:rsidRPr="00981717">
        <w:rPr>
          <w:sz w:val="20"/>
        </w:rPr>
        <w:t>Teppey</w:t>
      </w:r>
      <w:proofErr w:type="spellEnd"/>
      <w:r w:rsidRPr="00981717">
        <w:rPr>
          <w:sz w:val="20"/>
        </w:rPr>
        <w:t xml:space="preserve">, M. (2020). Analiza stanja na področju uveljavljanja pravic intelektualne lastnine v Republiki Sloveniji v obdobju od 1. januarja do 31. decembra 2019; Drobež, E., &amp; </w:t>
      </w:r>
      <w:proofErr w:type="spellStart"/>
      <w:r w:rsidRPr="00981717">
        <w:rPr>
          <w:sz w:val="20"/>
        </w:rPr>
        <w:t>Teppey</w:t>
      </w:r>
      <w:proofErr w:type="spellEnd"/>
      <w:r w:rsidRPr="00981717">
        <w:rPr>
          <w:sz w:val="20"/>
        </w:rPr>
        <w:t xml:space="preserve">, M. (2021). Analiza stanja na področju uveljavljanja pravic intelektualne lastnine v Republiki Sloveniji v letu 2020; Drobež, E., &amp; </w:t>
      </w:r>
      <w:proofErr w:type="spellStart"/>
      <w:r w:rsidRPr="00981717">
        <w:rPr>
          <w:sz w:val="20"/>
        </w:rPr>
        <w:t>Teppey</w:t>
      </w:r>
      <w:proofErr w:type="spellEnd"/>
      <w:r w:rsidRPr="00981717">
        <w:rPr>
          <w:sz w:val="20"/>
        </w:rPr>
        <w:t xml:space="preserve">, M. (2022). Analiza stanja na področju uveljavljanja pravic intelektualne lastnine v Republiki Sloveniji v letu 2021; Drobež, E., &amp; </w:t>
      </w:r>
      <w:proofErr w:type="spellStart"/>
      <w:r w:rsidRPr="00981717">
        <w:rPr>
          <w:sz w:val="20"/>
        </w:rPr>
        <w:t>Teppey</w:t>
      </w:r>
      <w:proofErr w:type="spellEnd"/>
      <w:r w:rsidRPr="00981717">
        <w:rPr>
          <w:sz w:val="20"/>
        </w:rPr>
        <w:t xml:space="preserve">, M. (2023). Analiza stanja na področju uveljavljanja pravic intelektualne lastnine v Republiki Sloveniji v letu 2022; Drobež, E., &amp; </w:t>
      </w:r>
      <w:proofErr w:type="spellStart"/>
      <w:r w:rsidRPr="00981717">
        <w:rPr>
          <w:sz w:val="20"/>
        </w:rPr>
        <w:t>Teppey</w:t>
      </w:r>
      <w:proofErr w:type="spellEnd"/>
      <w:r w:rsidRPr="00981717">
        <w:rPr>
          <w:sz w:val="20"/>
        </w:rPr>
        <w:t xml:space="preserve">, M. (2024). Analiza stanja na področju uveljavljanja pravic intelektualne lastnine v Republiki Sloveniji v letu 2023. Drobež, E., &amp; </w:t>
      </w:r>
      <w:proofErr w:type="spellStart"/>
      <w:r w:rsidRPr="00981717">
        <w:rPr>
          <w:sz w:val="20"/>
        </w:rPr>
        <w:t>Teppey</w:t>
      </w:r>
      <w:proofErr w:type="spellEnd"/>
      <w:r w:rsidRPr="00981717">
        <w:rPr>
          <w:sz w:val="20"/>
        </w:rPr>
        <w:t>, M. (2025). Analiza stanja na področju uveljavljanja pravic intelektualne lastnine v Republiki Sloveniji v letu 2024.</w:t>
      </w:r>
    </w:p>
    <w:bookmarkEnd w:id="10"/>
    <w:p w:rsidR="007E47B1" w:rsidRPr="00981717" w:rsidRDefault="007E47B1" w:rsidP="00433C3C">
      <w:pPr>
        <w:pStyle w:val="Sprotnaopomba-besedilo"/>
        <w:rPr>
          <w:sz w:val="20"/>
        </w:rPr>
      </w:pPr>
    </w:p>
  </w:footnote>
  <w:footnote w:id="4">
    <w:p w:rsidR="007E47B1" w:rsidRPr="00981717" w:rsidRDefault="007E47B1" w:rsidP="00433C3C">
      <w:pPr>
        <w:pStyle w:val="Sprotnaopomba-besedilo"/>
        <w:rPr>
          <w:sz w:val="20"/>
        </w:rPr>
      </w:pPr>
      <w:r w:rsidRPr="00981717">
        <w:rPr>
          <w:rStyle w:val="Sprotnaopomba-sklic"/>
          <w:sz w:val="20"/>
        </w:rPr>
        <w:footnoteRef/>
      </w:r>
      <w:r w:rsidRPr="00981717">
        <w:rPr>
          <w:sz w:val="20"/>
        </w:rPr>
        <w:t xml:space="preserve"> </w:t>
      </w:r>
      <w:r w:rsidRPr="00981717">
        <w:rPr>
          <w:sz w:val="20"/>
        </w:rPr>
        <w:t xml:space="preserve">Glej </w:t>
      </w:r>
      <w:bookmarkStart w:id="14" w:name="_Hlk227530920"/>
      <w:r w:rsidRPr="00981717">
        <w:rPr>
          <w:sz w:val="20"/>
        </w:rPr>
        <w:t xml:space="preserve">EUIPO, </w:t>
      </w:r>
      <w:proofErr w:type="spellStart"/>
      <w:r w:rsidRPr="00981717">
        <w:rPr>
          <w:sz w:val="20"/>
        </w:rPr>
        <w:t>Trade</w:t>
      </w:r>
      <w:proofErr w:type="spellEnd"/>
      <w:r w:rsidRPr="00981717">
        <w:rPr>
          <w:sz w:val="20"/>
        </w:rPr>
        <w:t xml:space="preserve"> </w:t>
      </w:r>
      <w:proofErr w:type="spellStart"/>
      <w:r w:rsidRPr="00981717">
        <w:rPr>
          <w:sz w:val="20"/>
        </w:rPr>
        <w:t>Secrets</w:t>
      </w:r>
      <w:proofErr w:type="spellEnd"/>
      <w:r w:rsidRPr="00981717">
        <w:rPr>
          <w:sz w:val="20"/>
        </w:rPr>
        <w:t xml:space="preserve"> </w:t>
      </w:r>
      <w:proofErr w:type="spellStart"/>
      <w:r w:rsidRPr="00981717">
        <w:rPr>
          <w:sz w:val="20"/>
        </w:rPr>
        <w:t>Litigation</w:t>
      </w:r>
      <w:proofErr w:type="spellEnd"/>
      <w:r w:rsidRPr="00981717">
        <w:rPr>
          <w:sz w:val="20"/>
        </w:rPr>
        <w:t xml:space="preserve"> </w:t>
      </w:r>
      <w:proofErr w:type="spellStart"/>
      <w:r w:rsidRPr="00981717">
        <w:rPr>
          <w:sz w:val="20"/>
        </w:rPr>
        <w:t>Trends</w:t>
      </w:r>
      <w:proofErr w:type="spellEnd"/>
      <w:r w:rsidRPr="00981717">
        <w:rPr>
          <w:sz w:val="20"/>
        </w:rPr>
        <w:t xml:space="preserve"> in </w:t>
      </w:r>
      <w:proofErr w:type="spellStart"/>
      <w:r w:rsidRPr="00981717">
        <w:rPr>
          <w:sz w:val="20"/>
        </w:rPr>
        <w:t>the</w:t>
      </w:r>
      <w:proofErr w:type="spellEnd"/>
      <w:r w:rsidRPr="00981717">
        <w:rPr>
          <w:sz w:val="20"/>
        </w:rPr>
        <w:t xml:space="preserve"> EU, 2023, </w:t>
      </w:r>
      <w:hyperlink r:id="rId2" w:history="1">
        <w:r w:rsidRPr="00981717">
          <w:rPr>
            <w:rStyle w:val="Hiperpovezava"/>
            <w:sz w:val="20"/>
          </w:rPr>
          <w:t>https://euipo.europa.eu/tunnel-web/secure/webdav/guest/document_library/observatory/documents/reports/2023_Trade_Secrets_Litigation_Trends_in_the_EU/2023_Trade_Secrets_Litigation_Trends_Study_FullR_en.pdf</w:t>
        </w:r>
      </w:hyperlink>
      <w:r w:rsidRPr="00981717">
        <w:rPr>
          <w:sz w:val="20"/>
        </w:rPr>
        <w:t xml:space="preserve"> (nazadnje obiskano 15. 5. 2025), str. 17.</w:t>
      </w:r>
      <w:bookmarkEnd w:id="14"/>
    </w:p>
  </w:footnote>
  <w:footnote w:id="5">
    <w:p w:rsidR="007E47B1" w:rsidRPr="00981717" w:rsidRDefault="007E47B1">
      <w:pPr>
        <w:pStyle w:val="Sprotnaopomba-besedilo"/>
        <w:rPr>
          <w:sz w:val="20"/>
        </w:rPr>
      </w:pPr>
      <w:r w:rsidRPr="00981717">
        <w:rPr>
          <w:rStyle w:val="Sprotnaopomba-sklic"/>
          <w:sz w:val="20"/>
        </w:rPr>
        <w:footnoteRef/>
      </w:r>
      <w:r w:rsidRPr="00981717">
        <w:rPr>
          <w:sz w:val="20"/>
        </w:rPr>
        <w:t xml:space="preserve"> </w:t>
      </w:r>
      <w:r w:rsidR="004D3375" w:rsidRPr="00981717">
        <w:rPr>
          <w:sz w:val="20"/>
        </w:rPr>
        <w:t>Uradni list RS, št. 51/06 – uradno prečiščeno besedilo, 100/13, 23/20, 76/23 in 85/25.</w:t>
      </w:r>
    </w:p>
  </w:footnote>
  <w:footnote w:id="6">
    <w:p w:rsidR="00E4333C" w:rsidRPr="00981717" w:rsidRDefault="00E4333C" w:rsidP="00E4333C">
      <w:pPr>
        <w:pStyle w:val="Sprotnaopomba-besedilo"/>
        <w:rPr>
          <w:sz w:val="20"/>
        </w:rPr>
      </w:pPr>
      <w:r w:rsidRPr="00981717">
        <w:rPr>
          <w:rStyle w:val="Sprotnaopomba-sklic"/>
          <w:sz w:val="20"/>
        </w:rPr>
        <w:footnoteRef/>
      </w:r>
      <w:r w:rsidRPr="00981717">
        <w:rPr>
          <w:sz w:val="20"/>
        </w:rPr>
        <w:t xml:space="preserve"> </w:t>
      </w:r>
      <w:r w:rsidRPr="00981717">
        <w:rPr>
          <w:sz w:val="20"/>
        </w:rPr>
        <w:t>Uradni list RS, št. 23/20.</w:t>
      </w:r>
    </w:p>
  </w:footnote>
  <w:footnote w:id="7">
    <w:p w:rsidR="004D3375" w:rsidRPr="00981717" w:rsidRDefault="004D3375">
      <w:pPr>
        <w:pStyle w:val="Sprotnaopomba-besedilo"/>
        <w:rPr>
          <w:sz w:val="20"/>
        </w:rPr>
      </w:pPr>
      <w:r w:rsidRPr="00981717">
        <w:rPr>
          <w:rStyle w:val="Sprotnaopomba-sklic"/>
          <w:sz w:val="20"/>
        </w:rPr>
        <w:footnoteRef/>
      </w:r>
      <w:r w:rsidRPr="00981717">
        <w:rPr>
          <w:sz w:val="20"/>
        </w:rPr>
        <w:t xml:space="preserve"> </w:t>
      </w:r>
      <w:r w:rsidRPr="00981717">
        <w:rPr>
          <w:sz w:val="20"/>
        </w:rPr>
        <w:t>UL L 347, 20.12.2013, str. 671–854.</w:t>
      </w:r>
    </w:p>
  </w:footnote>
  <w:footnote w:id="8">
    <w:p w:rsidR="005B215F" w:rsidRPr="00981717" w:rsidRDefault="005B215F">
      <w:pPr>
        <w:pStyle w:val="Sprotnaopomba-besedilo"/>
        <w:rPr>
          <w:sz w:val="20"/>
        </w:rPr>
      </w:pPr>
      <w:r w:rsidRPr="00981717">
        <w:rPr>
          <w:rStyle w:val="Sprotnaopomba-sklic"/>
          <w:sz w:val="20"/>
        </w:rPr>
        <w:footnoteRef/>
      </w:r>
      <w:r w:rsidRPr="00981717">
        <w:rPr>
          <w:sz w:val="20"/>
        </w:rPr>
        <w:t xml:space="preserve"> </w:t>
      </w:r>
      <w:r w:rsidRPr="00981717">
        <w:rPr>
          <w:sz w:val="20"/>
        </w:rPr>
        <w:t>UL L 154, 16.06.2017, str. 1-99.</w:t>
      </w:r>
    </w:p>
  </w:footnote>
  <w:footnote w:id="9">
    <w:p w:rsidR="00DB2696" w:rsidRPr="00981717" w:rsidRDefault="00DB2696">
      <w:pPr>
        <w:pStyle w:val="Sprotnaopomba-besedilo"/>
        <w:rPr>
          <w:sz w:val="20"/>
        </w:rPr>
      </w:pPr>
      <w:r w:rsidRPr="00981717">
        <w:rPr>
          <w:rStyle w:val="Sprotnaopomba-sklic"/>
          <w:sz w:val="20"/>
        </w:rPr>
        <w:footnoteRef/>
      </w:r>
      <w:r w:rsidRPr="00981717">
        <w:rPr>
          <w:sz w:val="20"/>
        </w:rPr>
        <w:t xml:space="preserve"> </w:t>
      </w:r>
      <w:r w:rsidRPr="00981717">
        <w:rPr>
          <w:color w:val="212529"/>
          <w:sz w:val="20"/>
          <w:shd w:val="clear" w:color="auto" w:fill="FFFFFF"/>
        </w:rPr>
        <w:t>UL L 336, 23.12.2015, str. 1-26.</w:t>
      </w:r>
    </w:p>
  </w:footnote>
  <w:footnote w:id="10">
    <w:p w:rsidR="00975C0F" w:rsidRPr="00981717" w:rsidRDefault="00975C0F">
      <w:pPr>
        <w:pStyle w:val="Sprotnaopomba-besedilo"/>
        <w:rPr>
          <w:sz w:val="20"/>
        </w:rPr>
      </w:pPr>
      <w:r w:rsidRPr="00981717">
        <w:rPr>
          <w:rStyle w:val="Sprotnaopomba-sklic"/>
          <w:sz w:val="20"/>
        </w:rPr>
        <w:footnoteRef/>
      </w:r>
      <w:r w:rsidRPr="00981717">
        <w:rPr>
          <w:sz w:val="20"/>
        </w:rPr>
        <w:t xml:space="preserve"> </w:t>
      </w:r>
      <w:r w:rsidRPr="00981717">
        <w:rPr>
          <w:sz w:val="20"/>
        </w:rPr>
        <w:t>Uradni list RS, št. 16/07 – uradno prečiščeno besedilo, 68/08, 110/13, 56/15, 63/16 – ZKUASP, 59/19 in 130/22.</w:t>
      </w:r>
    </w:p>
  </w:footnote>
  <w:footnote w:id="11">
    <w:p w:rsidR="0059713C" w:rsidRPr="00981717" w:rsidRDefault="0059713C">
      <w:pPr>
        <w:pStyle w:val="Sprotnaopomba-besedilo"/>
        <w:rPr>
          <w:sz w:val="20"/>
        </w:rPr>
      </w:pPr>
      <w:r w:rsidRPr="00981717">
        <w:rPr>
          <w:rStyle w:val="Sprotnaopomba-sklic"/>
          <w:sz w:val="20"/>
        </w:rPr>
        <w:footnoteRef/>
      </w:r>
      <w:r w:rsidRPr="00981717">
        <w:rPr>
          <w:sz w:val="20"/>
        </w:rPr>
        <w:t xml:space="preserve"> </w:t>
      </w:r>
      <w:r w:rsidRPr="00981717">
        <w:rPr>
          <w:sz w:val="20"/>
        </w:rPr>
        <w:t>Uradni list RS, št. 130/22, 12/24 in 100/25 – ZS-1.</w:t>
      </w:r>
    </w:p>
  </w:footnote>
  <w:footnote w:id="12">
    <w:p w:rsidR="00880A39" w:rsidRPr="00981717" w:rsidRDefault="00880A39">
      <w:pPr>
        <w:pStyle w:val="Sprotnaopomba-besedilo"/>
        <w:rPr>
          <w:sz w:val="20"/>
        </w:rPr>
      </w:pPr>
      <w:r w:rsidRPr="00981717">
        <w:rPr>
          <w:rStyle w:val="Sprotnaopomba-sklic"/>
          <w:sz w:val="20"/>
        </w:rPr>
        <w:footnoteRef/>
      </w:r>
      <w:r w:rsidRPr="00981717">
        <w:rPr>
          <w:sz w:val="20"/>
        </w:rPr>
        <w:t xml:space="preserve"> </w:t>
      </w:r>
      <w:r w:rsidRPr="00981717">
        <w:rPr>
          <w:sz w:val="20"/>
        </w:rPr>
        <w:t>MKPEP, št. 19, Uradni list RS št. 68. Mednarodne pogodbe, 30. 7. 2002.</w:t>
      </w:r>
    </w:p>
  </w:footnote>
  <w:footnote w:id="13">
    <w:p w:rsidR="00880A39" w:rsidRPr="00981717" w:rsidRDefault="00880A39">
      <w:pPr>
        <w:pStyle w:val="Sprotnaopomba-besedilo"/>
        <w:rPr>
          <w:sz w:val="20"/>
        </w:rPr>
      </w:pPr>
      <w:r w:rsidRPr="00981717">
        <w:rPr>
          <w:rStyle w:val="Sprotnaopomba-sklic"/>
          <w:sz w:val="20"/>
        </w:rPr>
        <w:footnoteRef/>
      </w:r>
      <w:r w:rsidRPr="00981717">
        <w:rPr>
          <w:sz w:val="20"/>
        </w:rPr>
        <w:t xml:space="preserve"> </w:t>
      </w:r>
      <w:bookmarkStart w:id="45" w:name="_Hlk227552523"/>
      <w:r w:rsidRPr="00981717">
        <w:rPr>
          <w:sz w:val="20"/>
        </w:rPr>
        <w:t xml:space="preserve">EPO, </w:t>
      </w:r>
      <w:proofErr w:type="spellStart"/>
      <w:r w:rsidRPr="00981717">
        <w:rPr>
          <w:sz w:val="20"/>
        </w:rPr>
        <w:t>Guidelines</w:t>
      </w:r>
      <w:proofErr w:type="spellEnd"/>
      <w:r w:rsidRPr="00981717">
        <w:rPr>
          <w:sz w:val="20"/>
        </w:rPr>
        <w:t xml:space="preserve"> </w:t>
      </w:r>
      <w:proofErr w:type="spellStart"/>
      <w:r w:rsidRPr="00981717">
        <w:rPr>
          <w:sz w:val="20"/>
        </w:rPr>
        <w:t>for</w:t>
      </w:r>
      <w:proofErr w:type="spellEnd"/>
      <w:r w:rsidRPr="00981717">
        <w:rPr>
          <w:sz w:val="20"/>
        </w:rPr>
        <w:t xml:space="preserve"> </w:t>
      </w:r>
      <w:proofErr w:type="spellStart"/>
      <w:r w:rsidRPr="00981717">
        <w:rPr>
          <w:sz w:val="20"/>
        </w:rPr>
        <w:t>Examination</w:t>
      </w:r>
      <w:proofErr w:type="spellEnd"/>
      <w:r w:rsidRPr="00981717">
        <w:rPr>
          <w:sz w:val="20"/>
        </w:rPr>
        <w:t xml:space="preserve"> in </w:t>
      </w:r>
      <w:proofErr w:type="spellStart"/>
      <w:r w:rsidRPr="00981717">
        <w:rPr>
          <w:sz w:val="20"/>
        </w:rPr>
        <w:t>the</w:t>
      </w:r>
      <w:proofErr w:type="spellEnd"/>
      <w:r w:rsidRPr="00981717">
        <w:rPr>
          <w:sz w:val="20"/>
        </w:rPr>
        <w:t xml:space="preserve"> </w:t>
      </w:r>
      <w:proofErr w:type="spellStart"/>
      <w:r w:rsidRPr="00981717">
        <w:rPr>
          <w:sz w:val="20"/>
        </w:rPr>
        <w:t>European</w:t>
      </w:r>
      <w:proofErr w:type="spellEnd"/>
      <w:r w:rsidRPr="00981717">
        <w:rPr>
          <w:sz w:val="20"/>
        </w:rPr>
        <w:t xml:space="preserve"> Patent Office, part C, </w:t>
      </w:r>
      <w:proofErr w:type="spellStart"/>
      <w:r w:rsidRPr="00981717">
        <w:rPr>
          <w:sz w:val="20"/>
        </w:rPr>
        <w:t>Chapter</w:t>
      </w:r>
      <w:proofErr w:type="spellEnd"/>
      <w:r w:rsidRPr="00981717">
        <w:rPr>
          <w:sz w:val="20"/>
        </w:rPr>
        <w:t xml:space="preserve"> IV, 11.5.</w:t>
      </w:r>
      <w:bookmarkEnd w:id="45"/>
      <w:r w:rsidRPr="00981717">
        <w:rPr>
          <w:sz w:val="20"/>
        </w:rPr>
        <w:t xml:space="preserve"> </w:t>
      </w:r>
      <w:hyperlink r:id="rId3" w:history="1">
        <w:r w:rsidRPr="00981717">
          <w:rPr>
            <w:rStyle w:val="Hiperpovezava"/>
            <w:sz w:val="20"/>
          </w:rPr>
          <w:t>https://www.epo.org/en/legal/guidelines-epc/2026/index.html (20</w:t>
        </w:r>
      </w:hyperlink>
      <w:r w:rsidRPr="00981717">
        <w:rPr>
          <w:sz w:val="20"/>
        </w:rPr>
        <w:t>. 4. 2026).</w:t>
      </w:r>
    </w:p>
  </w:footnote>
  <w:footnote w:id="14">
    <w:p w:rsidR="00AE35BC" w:rsidRPr="00981717" w:rsidRDefault="00AE35BC">
      <w:pPr>
        <w:pStyle w:val="Sprotnaopomba-besedilo"/>
        <w:rPr>
          <w:sz w:val="20"/>
        </w:rPr>
      </w:pPr>
      <w:r w:rsidRPr="00981717">
        <w:rPr>
          <w:rStyle w:val="Sprotnaopomba-sklic"/>
          <w:sz w:val="20"/>
        </w:rPr>
        <w:footnoteRef/>
      </w:r>
      <w:r w:rsidRPr="00981717">
        <w:rPr>
          <w:sz w:val="20"/>
        </w:rPr>
        <w:t xml:space="preserve"> </w:t>
      </w:r>
      <w:r w:rsidRPr="00981717">
        <w:rPr>
          <w:color w:val="212529"/>
          <w:sz w:val="20"/>
          <w:shd w:val="clear" w:color="auto" w:fill="FFFFFF"/>
        </w:rPr>
        <w:t>UL L 003, 05.01.2002, str. 1-24.</w:t>
      </w:r>
    </w:p>
  </w:footnote>
  <w:footnote w:id="15">
    <w:p w:rsidR="0099696A" w:rsidRPr="00981717" w:rsidRDefault="0099696A">
      <w:pPr>
        <w:pStyle w:val="Sprotnaopomba-besedilo"/>
        <w:rPr>
          <w:sz w:val="20"/>
        </w:rPr>
      </w:pPr>
      <w:r w:rsidRPr="00981717">
        <w:rPr>
          <w:rStyle w:val="Sprotnaopomba-sklic"/>
          <w:sz w:val="20"/>
        </w:rPr>
        <w:footnoteRef/>
      </w:r>
      <w:r w:rsidRPr="00981717">
        <w:rPr>
          <w:sz w:val="20"/>
        </w:rPr>
        <w:t xml:space="preserve"> </w:t>
      </w:r>
      <w:r w:rsidRPr="00981717">
        <w:rPr>
          <w:color w:val="212529"/>
          <w:sz w:val="20"/>
          <w:shd w:val="clear" w:color="auto" w:fill="FFFFFF"/>
        </w:rPr>
        <w:t>UL L, 2024/1143, 23. 4. 2024.</w:t>
      </w:r>
    </w:p>
  </w:footnote>
  <w:footnote w:id="16">
    <w:p w:rsidR="00795D1E" w:rsidRPr="00981717" w:rsidRDefault="00795D1E">
      <w:pPr>
        <w:pStyle w:val="Sprotnaopomba-besedilo"/>
        <w:rPr>
          <w:sz w:val="20"/>
        </w:rPr>
      </w:pPr>
      <w:r w:rsidRPr="00981717">
        <w:rPr>
          <w:rStyle w:val="Sprotnaopomba-sklic"/>
          <w:sz w:val="20"/>
        </w:rPr>
        <w:footnoteRef/>
      </w:r>
      <w:r w:rsidRPr="00981717">
        <w:rPr>
          <w:sz w:val="20"/>
        </w:rPr>
        <w:t xml:space="preserve"> </w:t>
      </w:r>
      <w:r w:rsidRPr="00981717">
        <w:rPr>
          <w:sz w:val="20"/>
        </w:rPr>
        <w:t>UL L 175/7, 4. 6. 2009.</w:t>
      </w:r>
    </w:p>
  </w:footnote>
  <w:footnote w:id="17">
    <w:p w:rsidR="00CA3D52" w:rsidRPr="00981717" w:rsidRDefault="00CA3D52">
      <w:pPr>
        <w:pStyle w:val="Sprotnaopomba-besedilo"/>
        <w:rPr>
          <w:sz w:val="20"/>
        </w:rPr>
      </w:pPr>
      <w:r w:rsidRPr="00981717">
        <w:rPr>
          <w:rStyle w:val="Sprotnaopomba-sklic"/>
          <w:sz w:val="20"/>
        </w:rPr>
        <w:footnoteRef/>
      </w:r>
      <w:r w:rsidRPr="00981717">
        <w:rPr>
          <w:sz w:val="20"/>
        </w:rPr>
        <w:t xml:space="preserve"> </w:t>
      </w:r>
      <w:r w:rsidRPr="00981717">
        <w:rPr>
          <w:sz w:val="20"/>
        </w:rPr>
        <w:t>Uradni list RS, št. 63/16 in 130/22.</w:t>
      </w:r>
    </w:p>
  </w:footnote>
  <w:footnote w:id="18">
    <w:p w:rsidR="00CA3D52" w:rsidRPr="00981717" w:rsidRDefault="00CA3D52">
      <w:pPr>
        <w:pStyle w:val="Sprotnaopomba-besedilo"/>
        <w:rPr>
          <w:sz w:val="20"/>
        </w:rPr>
      </w:pPr>
      <w:r w:rsidRPr="00981717">
        <w:rPr>
          <w:rStyle w:val="Sprotnaopomba-sklic"/>
          <w:sz w:val="20"/>
        </w:rPr>
        <w:footnoteRef/>
      </w:r>
      <w:r w:rsidRPr="00981717">
        <w:rPr>
          <w:sz w:val="20"/>
        </w:rPr>
        <w:t xml:space="preserve"> </w:t>
      </w:r>
      <w:r w:rsidRPr="00981717">
        <w:rPr>
          <w:sz w:val="20"/>
        </w:rPr>
        <w:t xml:space="preserve">Uradni list RS, št. 97/07 – uradno prečiščeno besedilo, 64/16 – </w:t>
      </w:r>
      <w:proofErr w:type="spellStart"/>
      <w:r w:rsidRPr="00981717">
        <w:rPr>
          <w:sz w:val="20"/>
        </w:rPr>
        <w:t>odl</w:t>
      </w:r>
      <w:proofErr w:type="spellEnd"/>
      <w:r w:rsidRPr="00981717">
        <w:rPr>
          <w:sz w:val="20"/>
        </w:rPr>
        <w:t>. US in 20/18 – OROZ631.</w:t>
      </w:r>
    </w:p>
  </w:footnote>
  <w:footnote w:id="19">
    <w:p w:rsidR="00587743" w:rsidRPr="00981717" w:rsidRDefault="00587743">
      <w:pPr>
        <w:pStyle w:val="Sprotnaopomba-besedilo"/>
        <w:rPr>
          <w:sz w:val="20"/>
        </w:rPr>
      </w:pPr>
      <w:r w:rsidRPr="00981717">
        <w:rPr>
          <w:rStyle w:val="Sprotnaopomba-sklic"/>
          <w:sz w:val="20"/>
        </w:rPr>
        <w:footnoteRef/>
      </w:r>
      <w:r w:rsidRPr="00981717">
        <w:rPr>
          <w:sz w:val="20"/>
        </w:rPr>
        <w:t xml:space="preserve"> </w:t>
      </w:r>
      <w:r w:rsidRPr="00981717">
        <w:rPr>
          <w:sz w:val="20"/>
        </w:rPr>
        <w:t xml:space="preserve">Uradni list RS, št. 65/09 – uradno prečiščeno besedilo, 33/11, 91/11, 32/12, 57/12, 44/13 – </w:t>
      </w:r>
      <w:proofErr w:type="spellStart"/>
      <w:r w:rsidRPr="00981717">
        <w:rPr>
          <w:sz w:val="20"/>
        </w:rPr>
        <w:t>odl</w:t>
      </w:r>
      <w:proofErr w:type="spellEnd"/>
      <w:r w:rsidRPr="00981717">
        <w:rPr>
          <w:sz w:val="20"/>
        </w:rPr>
        <w:t xml:space="preserve">. US, 82/13, 55/15, 15/17, 22/19 – </w:t>
      </w:r>
      <w:proofErr w:type="spellStart"/>
      <w:r w:rsidRPr="00981717">
        <w:rPr>
          <w:sz w:val="20"/>
        </w:rPr>
        <w:t>ZPosS</w:t>
      </w:r>
      <w:proofErr w:type="spellEnd"/>
      <w:r w:rsidRPr="00981717">
        <w:rPr>
          <w:sz w:val="20"/>
        </w:rPr>
        <w:t xml:space="preserve">, 158/20 – </w:t>
      </w:r>
      <w:proofErr w:type="spellStart"/>
      <w:r w:rsidRPr="00981717">
        <w:rPr>
          <w:sz w:val="20"/>
        </w:rPr>
        <w:t>ZIntPK</w:t>
      </w:r>
      <w:proofErr w:type="spellEnd"/>
      <w:r w:rsidRPr="00981717">
        <w:rPr>
          <w:sz w:val="20"/>
        </w:rPr>
        <w:t xml:space="preserve">-C, 18/21, 18/23 – ZDU-1O, 75/23, 102/24, 77/25 in 10/26 – </w:t>
      </w:r>
      <w:proofErr w:type="spellStart"/>
      <w:r w:rsidRPr="00981717">
        <w:rPr>
          <w:sz w:val="20"/>
        </w:rPr>
        <w:t>ZdZEETD</w:t>
      </w:r>
      <w:proofErr w:type="spellEnd"/>
      <w:r w:rsidRPr="00981717">
        <w:rPr>
          <w:sz w:val="20"/>
        </w:rPr>
        <w:t>.</w:t>
      </w:r>
    </w:p>
  </w:footnote>
  <w:footnote w:id="20">
    <w:p w:rsidR="00A52D68" w:rsidRPr="00981717" w:rsidRDefault="00A52D68">
      <w:pPr>
        <w:pStyle w:val="Sprotnaopomba-besedilo"/>
        <w:rPr>
          <w:sz w:val="20"/>
        </w:rPr>
      </w:pPr>
      <w:r w:rsidRPr="00981717">
        <w:rPr>
          <w:rStyle w:val="Sprotnaopomba-sklic"/>
          <w:sz w:val="20"/>
        </w:rPr>
        <w:footnoteRef/>
      </w:r>
      <w:r w:rsidRPr="00981717">
        <w:rPr>
          <w:sz w:val="20"/>
        </w:rPr>
        <w:t xml:space="preserve"> </w:t>
      </w:r>
      <w:r w:rsidRPr="00981717">
        <w:rPr>
          <w:sz w:val="20"/>
        </w:rPr>
        <w:t>UL L 095, 15.04.2010, str. 1-24.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47B1" w:rsidRDefault="007E47B1" w:rsidP="002171D9">
    <w:pPr>
      <w:pStyle w:val="Glava"/>
    </w:pPr>
  </w:p>
  <w:p w:rsidR="007E47B1" w:rsidRPr="002171D9" w:rsidRDefault="007E47B1" w:rsidP="002171D9">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47B1" w:rsidRDefault="007E47B1" w:rsidP="00AA027C">
    <w:pPr>
      <w:spacing w:before="0" w:after="160" w:line="259" w:lineRule="auto"/>
      <w:rPr>
        <w:rFonts w:eastAsia="Times New Roman" w:cs="Times New Roman"/>
      </w:rPr>
    </w:pPr>
  </w:p>
  <w:p w:rsidR="007E47B1" w:rsidRPr="00AA027C" w:rsidRDefault="007E47B1" w:rsidP="00AA027C">
    <w:pPr>
      <w:spacing w:before="0" w:after="160" w:line="259" w:lineRule="auto"/>
      <w:rPr>
        <w:rFonts w:eastAsia="Times New Roman" w:cs="Times New Roma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47B1" w:rsidRDefault="007E47B1" w:rsidP="00AA027C">
    <w:pPr>
      <w:spacing w:before="0" w:after="160" w:line="259" w:lineRule="auto"/>
      <w:rPr>
        <w:rFonts w:eastAsia="Times New Roman" w:cs="Times New Roman"/>
        <w:sz w:val="16"/>
        <w:szCs w:val="16"/>
      </w:rPr>
    </w:pPr>
  </w:p>
  <w:p w:rsidR="005E6D51" w:rsidRPr="00AA027C" w:rsidRDefault="007E47B1" w:rsidP="00AA027C">
    <w:pPr>
      <w:spacing w:before="0" w:after="160" w:line="259" w:lineRule="auto"/>
      <w:rPr>
        <w:rFonts w:eastAsia="Times New Roman" w:cs="Times New Roman"/>
      </w:rPr>
    </w:pPr>
    <w:r>
      <w:rPr>
        <w:rFonts w:eastAsia="Times New Roman" w:cs="Times New Roman"/>
      </w:rPr>
      <w:t>ANALIZA STANJA</w:t>
    </w:r>
    <w:r w:rsidRPr="00AA027C">
      <w:rPr>
        <w:rFonts w:eastAsia="Times New Roman" w:cs="Times New Roman"/>
      </w:rPr>
      <w:t xml:space="preserve"> UVELJAVLJANJA PRAVIC INTELEKTUALNE LASTNI</w:t>
    </w:r>
    <w:r>
      <w:rPr>
        <w:rFonts w:eastAsia="Times New Roman" w:cs="Times New Roman"/>
      </w:rPr>
      <w:t xml:space="preserve">NE V REPUBLIKI SLOVENIJI </w:t>
    </w:r>
    <w:r w:rsidRPr="00AA027C">
      <w:rPr>
        <w:rFonts w:eastAsia="Times New Roman" w:cs="Times New Roman"/>
      </w:rPr>
      <w:t>202</w:t>
    </w:r>
    <w:r>
      <w:rPr>
        <w:rFonts w:eastAsia="Times New Roman" w:cs="Times New Roman"/>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D7F6F"/>
    <w:multiLevelType w:val="hybridMultilevel"/>
    <w:tmpl w:val="36A25DA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 w15:restartNumberingAfterBreak="0">
    <w:nsid w:val="094A7D84"/>
    <w:multiLevelType w:val="hybridMultilevel"/>
    <w:tmpl w:val="194A940A"/>
    <w:lvl w:ilvl="0" w:tplc="A718D14E">
      <w:start w:val="1"/>
      <w:numFmt w:val="bullet"/>
      <w:lvlText w:val="•"/>
      <w:lvlJc w:val="left"/>
      <w:pPr>
        <w:tabs>
          <w:tab w:val="num" w:pos="720"/>
        </w:tabs>
        <w:ind w:left="720" w:hanging="360"/>
      </w:pPr>
      <w:rPr>
        <w:rFonts w:ascii="Arial" w:hAnsi="Arial" w:hint="default"/>
      </w:rPr>
    </w:lvl>
    <w:lvl w:ilvl="1" w:tplc="2AF8D7C0" w:tentative="1">
      <w:start w:val="1"/>
      <w:numFmt w:val="bullet"/>
      <w:lvlText w:val="•"/>
      <w:lvlJc w:val="left"/>
      <w:pPr>
        <w:tabs>
          <w:tab w:val="num" w:pos="1440"/>
        </w:tabs>
        <w:ind w:left="1440" w:hanging="360"/>
      </w:pPr>
      <w:rPr>
        <w:rFonts w:ascii="Arial" w:hAnsi="Arial" w:hint="default"/>
      </w:rPr>
    </w:lvl>
    <w:lvl w:ilvl="2" w:tplc="9BAE05C6" w:tentative="1">
      <w:start w:val="1"/>
      <w:numFmt w:val="bullet"/>
      <w:lvlText w:val="•"/>
      <w:lvlJc w:val="left"/>
      <w:pPr>
        <w:tabs>
          <w:tab w:val="num" w:pos="2160"/>
        </w:tabs>
        <w:ind w:left="2160" w:hanging="360"/>
      </w:pPr>
      <w:rPr>
        <w:rFonts w:ascii="Arial" w:hAnsi="Arial" w:hint="default"/>
      </w:rPr>
    </w:lvl>
    <w:lvl w:ilvl="3" w:tplc="F85A21B8" w:tentative="1">
      <w:start w:val="1"/>
      <w:numFmt w:val="bullet"/>
      <w:lvlText w:val="•"/>
      <w:lvlJc w:val="left"/>
      <w:pPr>
        <w:tabs>
          <w:tab w:val="num" w:pos="2880"/>
        </w:tabs>
        <w:ind w:left="2880" w:hanging="360"/>
      </w:pPr>
      <w:rPr>
        <w:rFonts w:ascii="Arial" w:hAnsi="Arial" w:hint="default"/>
      </w:rPr>
    </w:lvl>
    <w:lvl w:ilvl="4" w:tplc="EE4C65B6" w:tentative="1">
      <w:start w:val="1"/>
      <w:numFmt w:val="bullet"/>
      <w:lvlText w:val="•"/>
      <w:lvlJc w:val="left"/>
      <w:pPr>
        <w:tabs>
          <w:tab w:val="num" w:pos="3600"/>
        </w:tabs>
        <w:ind w:left="3600" w:hanging="360"/>
      </w:pPr>
      <w:rPr>
        <w:rFonts w:ascii="Arial" w:hAnsi="Arial" w:hint="default"/>
      </w:rPr>
    </w:lvl>
    <w:lvl w:ilvl="5" w:tplc="73365A56" w:tentative="1">
      <w:start w:val="1"/>
      <w:numFmt w:val="bullet"/>
      <w:lvlText w:val="•"/>
      <w:lvlJc w:val="left"/>
      <w:pPr>
        <w:tabs>
          <w:tab w:val="num" w:pos="4320"/>
        </w:tabs>
        <w:ind w:left="4320" w:hanging="360"/>
      </w:pPr>
      <w:rPr>
        <w:rFonts w:ascii="Arial" w:hAnsi="Arial" w:hint="default"/>
      </w:rPr>
    </w:lvl>
    <w:lvl w:ilvl="6" w:tplc="E68C47A2" w:tentative="1">
      <w:start w:val="1"/>
      <w:numFmt w:val="bullet"/>
      <w:lvlText w:val="•"/>
      <w:lvlJc w:val="left"/>
      <w:pPr>
        <w:tabs>
          <w:tab w:val="num" w:pos="5040"/>
        </w:tabs>
        <w:ind w:left="5040" w:hanging="360"/>
      </w:pPr>
      <w:rPr>
        <w:rFonts w:ascii="Arial" w:hAnsi="Arial" w:hint="default"/>
      </w:rPr>
    </w:lvl>
    <w:lvl w:ilvl="7" w:tplc="8AE4EFDA" w:tentative="1">
      <w:start w:val="1"/>
      <w:numFmt w:val="bullet"/>
      <w:lvlText w:val="•"/>
      <w:lvlJc w:val="left"/>
      <w:pPr>
        <w:tabs>
          <w:tab w:val="num" w:pos="5760"/>
        </w:tabs>
        <w:ind w:left="5760" w:hanging="360"/>
      </w:pPr>
      <w:rPr>
        <w:rFonts w:ascii="Arial" w:hAnsi="Arial" w:hint="default"/>
      </w:rPr>
    </w:lvl>
    <w:lvl w:ilvl="8" w:tplc="410AB23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723F91"/>
    <w:multiLevelType w:val="hybridMultilevel"/>
    <w:tmpl w:val="32CC0A92"/>
    <w:lvl w:ilvl="0" w:tplc="CB504A3C">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 w15:restartNumberingAfterBreak="0">
    <w:nsid w:val="0E493602"/>
    <w:multiLevelType w:val="hybridMultilevel"/>
    <w:tmpl w:val="5D0AA4E2"/>
    <w:lvl w:ilvl="0" w:tplc="4078BBDE">
      <w:start w:val="1"/>
      <w:numFmt w:val="decimal"/>
      <w:lvlText w:val="(%1)"/>
      <w:lvlJc w:val="left"/>
      <w:pPr>
        <w:ind w:left="760" w:hanging="4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692898"/>
    <w:multiLevelType w:val="hybridMultilevel"/>
    <w:tmpl w:val="0FF22C78"/>
    <w:lvl w:ilvl="0" w:tplc="A7BC6182">
      <w:numFmt w:val="bullet"/>
      <w:lvlText w:val="-"/>
      <w:lvlJc w:val="left"/>
      <w:pPr>
        <w:ind w:left="720" w:hanging="360"/>
      </w:pPr>
      <w:rPr>
        <w:rFonts w:ascii="Trebuchet MS" w:eastAsiaTheme="minorEastAsia"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B9596B"/>
    <w:multiLevelType w:val="hybridMultilevel"/>
    <w:tmpl w:val="7398332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7AD7985"/>
    <w:multiLevelType w:val="hybridMultilevel"/>
    <w:tmpl w:val="0A04929A"/>
    <w:lvl w:ilvl="0" w:tplc="5FB2BC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9771BF7"/>
    <w:multiLevelType w:val="hybridMultilevel"/>
    <w:tmpl w:val="C4A0AE90"/>
    <w:lvl w:ilvl="0" w:tplc="4078BBDE">
      <w:start w:val="1"/>
      <w:numFmt w:val="decimal"/>
      <w:lvlText w:val="(%1)"/>
      <w:lvlJc w:val="left"/>
      <w:pPr>
        <w:ind w:left="760" w:hanging="4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0396DBE"/>
    <w:multiLevelType w:val="multilevel"/>
    <w:tmpl w:val="FCA8725A"/>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9" w15:restartNumberingAfterBreak="0">
    <w:nsid w:val="23454701"/>
    <w:multiLevelType w:val="hybridMultilevel"/>
    <w:tmpl w:val="627ED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1C1353"/>
    <w:multiLevelType w:val="hybridMultilevel"/>
    <w:tmpl w:val="748EE92C"/>
    <w:lvl w:ilvl="0" w:tplc="771A96F4">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AB476D7"/>
    <w:multiLevelType w:val="hybridMultilevel"/>
    <w:tmpl w:val="0B343CF6"/>
    <w:lvl w:ilvl="0" w:tplc="4554F97E">
      <w:start w:val="2"/>
      <w:numFmt w:val="bullet"/>
      <w:lvlText w:val="-"/>
      <w:lvlJc w:val="left"/>
      <w:pPr>
        <w:ind w:left="720" w:hanging="360"/>
      </w:pPr>
      <w:rPr>
        <w:rFonts w:ascii="Trebuchet MS" w:eastAsiaTheme="minorEastAsia"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1C4C3B"/>
    <w:multiLevelType w:val="hybridMultilevel"/>
    <w:tmpl w:val="72C0AB98"/>
    <w:lvl w:ilvl="0" w:tplc="A7BC6182">
      <w:numFmt w:val="bullet"/>
      <w:lvlText w:val="-"/>
      <w:lvlJc w:val="left"/>
      <w:pPr>
        <w:ind w:left="720" w:hanging="360"/>
      </w:pPr>
      <w:rPr>
        <w:rFonts w:ascii="Trebuchet MS" w:eastAsiaTheme="minorEastAsia"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46194C"/>
    <w:multiLevelType w:val="hybridMultilevel"/>
    <w:tmpl w:val="67520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1D51B6"/>
    <w:multiLevelType w:val="hybridMultilevel"/>
    <w:tmpl w:val="E3C805CA"/>
    <w:lvl w:ilvl="0" w:tplc="08090001">
      <w:start w:val="1"/>
      <w:numFmt w:val="bullet"/>
      <w:lvlText w:val=""/>
      <w:lvlJc w:val="left"/>
      <w:pPr>
        <w:ind w:left="720" w:hanging="360"/>
      </w:pPr>
      <w:rPr>
        <w:rFonts w:ascii="Symbol" w:hAnsi="Symbol" w:hint="default"/>
      </w:rPr>
    </w:lvl>
    <w:lvl w:ilvl="1" w:tplc="6F0697B4">
      <w:start w:val="2"/>
      <w:numFmt w:val="bullet"/>
      <w:lvlText w:val="-"/>
      <w:lvlJc w:val="left"/>
      <w:pPr>
        <w:ind w:left="1440" w:hanging="360"/>
      </w:pPr>
      <w:rPr>
        <w:rFonts w:ascii="Trebuchet MS" w:eastAsiaTheme="minorEastAsia" w:hAnsi="Trebuchet MS"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9A3200"/>
    <w:multiLevelType w:val="hybridMultilevel"/>
    <w:tmpl w:val="E9C012E0"/>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6" w15:restartNumberingAfterBreak="0">
    <w:nsid w:val="3792096D"/>
    <w:multiLevelType w:val="hybridMultilevel"/>
    <w:tmpl w:val="A1EEB23A"/>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17" w15:restartNumberingAfterBreak="0">
    <w:nsid w:val="38777D89"/>
    <w:multiLevelType w:val="hybridMultilevel"/>
    <w:tmpl w:val="58E49546"/>
    <w:lvl w:ilvl="0" w:tplc="08090001">
      <w:start w:val="1"/>
      <w:numFmt w:val="bullet"/>
      <w:lvlText w:val=""/>
      <w:lvlJc w:val="left"/>
      <w:pPr>
        <w:ind w:left="1440" w:hanging="360"/>
      </w:pPr>
      <w:rPr>
        <w:rFonts w:ascii="Symbol" w:hAnsi="Symbol" w:hint="default"/>
      </w:rPr>
    </w:lvl>
    <w:lvl w:ilvl="1" w:tplc="4BB83580">
      <w:start w:val="2"/>
      <w:numFmt w:val="bullet"/>
      <w:lvlText w:val="-"/>
      <w:lvlJc w:val="left"/>
      <w:pPr>
        <w:ind w:left="2160" w:hanging="360"/>
      </w:pPr>
      <w:rPr>
        <w:rFonts w:ascii="Trebuchet MS" w:eastAsiaTheme="minorEastAsia" w:hAnsi="Trebuchet MS" w:cstheme="minorBidi"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43E85E95"/>
    <w:multiLevelType w:val="hybridMultilevel"/>
    <w:tmpl w:val="C1C8CED2"/>
    <w:lvl w:ilvl="0" w:tplc="F294C29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445A72B3"/>
    <w:multiLevelType w:val="hybridMultilevel"/>
    <w:tmpl w:val="656EC7D2"/>
    <w:lvl w:ilvl="0" w:tplc="AE568FD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63E736F"/>
    <w:multiLevelType w:val="hybridMultilevel"/>
    <w:tmpl w:val="736C525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4AB95E65"/>
    <w:multiLevelType w:val="hybridMultilevel"/>
    <w:tmpl w:val="C0087094"/>
    <w:lvl w:ilvl="0" w:tplc="7FAC738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4AD101AB"/>
    <w:multiLevelType w:val="hybridMultilevel"/>
    <w:tmpl w:val="4FAA9F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4B5F401A"/>
    <w:multiLevelType w:val="hybridMultilevel"/>
    <w:tmpl w:val="E73C91E2"/>
    <w:lvl w:ilvl="0" w:tplc="64D2294C">
      <w:start w:val="1"/>
      <w:numFmt w:val="decimal"/>
      <w:lvlText w:val="%1."/>
      <w:lvlJc w:val="left"/>
      <w:pPr>
        <w:ind w:left="1080" w:hanging="720"/>
      </w:pPr>
      <w:rPr>
        <w:rFonts w:hint="default"/>
      </w:rPr>
    </w:lvl>
    <w:lvl w:ilvl="1" w:tplc="0372664A">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C32697D"/>
    <w:multiLevelType w:val="hybridMultilevel"/>
    <w:tmpl w:val="A656A56A"/>
    <w:lvl w:ilvl="0" w:tplc="A590F9C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50FD3BD6"/>
    <w:multiLevelType w:val="hybridMultilevel"/>
    <w:tmpl w:val="378A1AB6"/>
    <w:lvl w:ilvl="0" w:tplc="A7BC6182">
      <w:numFmt w:val="bullet"/>
      <w:lvlText w:val="-"/>
      <w:lvlJc w:val="left"/>
      <w:pPr>
        <w:ind w:left="720" w:hanging="360"/>
      </w:pPr>
      <w:rPr>
        <w:rFonts w:ascii="Trebuchet MS" w:eastAsiaTheme="minorEastAsia"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1F1D09"/>
    <w:multiLevelType w:val="hybridMultilevel"/>
    <w:tmpl w:val="414A0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2B2131"/>
    <w:multiLevelType w:val="hybridMultilevel"/>
    <w:tmpl w:val="153012B4"/>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71C1D98"/>
    <w:multiLevelType w:val="hybridMultilevel"/>
    <w:tmpl w:val="0CCC2D4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15:restartNumberingAfterBreak="0">
    <w:nsid w:val="5A402123"/>
    <w:multiLevelType w:val="hybridMultilevel"/>
    <w:tmpl w:val="D4E2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0D22637"/>
    <w:multiLevelType w:val="hybridMultilevel"/>
    <w:tmpl w:val="6E64508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63201B7F"/>
    <w:multiLevelType w:val="hybridMultilevel"/>
    <w:tmpl w:val="382089D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70910A2"/>
    <w:multiLevelType w:val="hybridMultilevel"/>
    <w:tmpl w:val="B2922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7DC29C0"/>
    <w:multiLevelType w:val="hybridMultilevel"/>
    <w:tmpl w:val="5FD6F8DC"/>
    <w:lvl w:ilvl="0" w:tplc="5C4EB2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9D31BA6"/>
    <w:multiLevelType w:val="hybridMultilevel"/>
    <w:tmpl w:val="EFD07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BF2634A"/>
    <w:multiLevelType w:val="hybridMultilevel"/>
    <w:tmpl w:val="8B522C7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5242B65"/>
    <w:multiLevelType w:val="hybridMultilevel"/>
    <w:tmpl w:val="F524FC34"/>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980793B"/>
    <w:multiLevelType w:val="hybridMultilevel"/>
    <w:tmpl w:val="3E4AF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C1E6953"/>
    <w:multiLevelType w:val="hybridMultilevel"/>
    <w:tmpl w:val="B096112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7DC25A95"/>
    <w:multiLevelType w:val="multilevel"/>
    <w:tmpl w:val="08090029"/>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1" w15:restartNumberingAfterBreak="0">
    <w:nsid w:val="7EE60E65"/>
    <w:multiLevelType w:val="hybridMultilevel"/>
    <w:tmpl w:val="65A25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FEB3793"/>
    <w:multiLevelType w:val="hybridMultilevel"/>
    <w:tmpl w:val="77545152"/>
    <w:lvl w:ilvl="0" w:tplc="476A2F6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0"/>
  </w:num>
  <w:num w:numId="2">
    <w:abstractNumId w:val="38"/>
  </w:num>
  <w:num w:numId="3">
    <w:abstractNumId w:val="18"/>
  </w:num>
  <w:num w:numId="4">
    <w:abstractNumId w:val="25"/>
  </w:num>
  <w:num w:numId="5">
    <w:abstractNumId w:val="12"/>
  </w:num>
  <w:num w:numId="6">
    <w:abstractNumId w:val="4"/>
  </w:num>
  <w:num w:numId="7">
    <w:abstractNumId w:val="6"/>
  </w:num>
  <w:num w:numId="8">
    <w:abstractNumId w:val="8"/>
  </w:num>
  <w:num w:numId="9">
    <w:abstractNumId w:val="30"/>
  </w:num>
  <w:num w:numId="10">
    <w:abstractNumId w:val="13"/>
  </w:num>
  <w:num w:numId="11">
    <w:abstractNumId w:val="5"/>
  </w:num>
  <w:num w:numId="12">
    <w:abstractNumId w:val="7"/>
  </w:num>
  <w:num w:numId="13">
    <w:abstractNumId w:val="3"/>
  </w:num>
  <w:num w:numId="14">
    <w:abstractNumId w:val="23"/>
  </w:num>
  <w:num w:numId="15">
    <w:abstractNumId w:val="21"/>
  </w:num>
  <w:num w:numId="16">
    <w:abstractNumId w:val="14"/>
  </w:num>
  <w:num w:numId="17">
    <w:abstractNumId w:val="17"/>
  </w:num>
  <w:num w:numId="18">
    <w:abstractNumId w:val="37"/>
  </w:num>
  <w:num w:numId="19">
    <w:abstractNumId w:val="10"/>
  </w:num>
  <w:num w:numId="20">
    <w:abstractNumId w:val="33"/>
  </w:num>
  <w:num w:numId="21">
    <w:abstractNumId w:val="35"/>
  </w:num>
  <w:num w:numId="22">
    <w:abstractNumId w:val="26"/>
  </w:num>
  <w:num w:numId="23">
    <w:abstractNumId w:val="11"/>
  </w:num>
  <w:num w:numId="24">
    <w:abstractNumId w:val="27"/>
  </w:num>
  <w:num w:numId="25">
    <w:abstractNumId w:val="32"/>
  </w:num>
  <w:num w:numId="26">
    <w:abstractNumId w:val="34"/>
  </w:num>
  <w:num w:numId="27">
    <w:abstractNumId w:val="31"/>
  </w:num>
  <w:num w:numId="28">
    <w:abstractNumId w:val="0"/>
  </w:num>
  <w:num w:numId="29">
    <w:abstractNumId w:val="2"/>
  </w:num>
  <w:num w:numId="30">
    <w:abstractNumId w:val="39"/>
  </w:num>
  <w:num w:numId="31">
    <w:abstractNumId w:val="15"/>
  </w:num>
  <w:num w:numId="32">
    <w:abstractNumId w:val="20"/>
  </w:num>
  <w:num w:numId="33">
    <w:abstractNumId w:val="22"/>
  </w:num>
  <w:num w:numId="34">
    <w:abstractNumId w:val="16"/>
  </w:num>
  <w:num w:numId="35">
    <w:abstractNumId w:val="41"/>
  </w:num>
  <w:num w:numId="36">
    <w:abstractNumId w:val="9"/>
  </w:num>
  <w:num w:numId="37">
    <w:abstractNumId w:val="29"/>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num>
  <w:num w:numId="40">
    <w:abstractNumId w:val="1"/>
  </w:num>
  <w:num w:numId="41">
    <w:abstractNumId w:val="19"/>
  </w:num>
  <w:num w:numId="42">
    <w:abstractNumId w:val="42"/>
  </w:num>
  <w:num w:numId="43">
    <w:abstractNumId w:val="36"/>
  </w:num>
  <w:num w:numId="4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ctiveWritingStyle w:appName="MSWord" w:lang="de-DE" w:vendorID="64" w:dllVersion="6" w:nlCheck="1" w:checkStyle="0"/>
  <w:activeWritingStyle w:appName="MSWord" w:lang="en-US" w:vendorID="64" w:dllVersion="6" w:nlCheck="1" w:checkStyle="0"/>
  <w:activeWritingStyle w:appName="MSWord" w:lang="en-US" w:vendorID="64" w:dllVersion="0" w:nlCheck="1" w:checkStyle="0"/>
  <w:activeWritingStyle w:appName="MSWord" w:lang="en-GB" w:vendorID="64" w:dllVersion="0" w:nlCheck="1" w:checkStyle="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747A"/>
    <w:rsid w:val="00000EE7"/>
    <w:rsid w:val="000023D4"/>
    <w:rsid w:val="00003281"/>
    <w:rsid w:val="00011116"/>
    <w:rsid w:val="00011872"/>
    <w:rsid w:val="00012F59"/>
    <w:rsid w:val="00015D4E"/>
    <w:rsid w:val="000171EF"/>
    <w:rsid w:val="00021980"/>
    <w:rsid w:val="00025FB8"/>
    <w:rsid w:val="00034675"/>
    <w:rsid w:val="00034678"/>
    <w:rsid w:val="000347F3"/>
    <w:rsid w:val="000360BC"/>
    <w:rsid w:val="000430A2"/>
    <w:rsid w:val="00045301"/>
    <w:rsid w:val="000461BE"/>
    <w:rsid w:val="0004702E"/>
    <w:rsid w:val="00050FD3"/>
    <w:rsid w:val="000539EF"/>
    <w:rsid w:val="00055236"/>
    <w:rsid w:val="00064B7B"/>
    <w:rsid w:val="00067095"/>
    <w:rsid w:val="0006747A"/>
    <w:rsid w:val="000725C4"/>
    <w:rsid w:val="00075F58"/>
    <w:rsid w:val="0008146C"/>
    <w:rsid w:val="00081641"/>
    <w:rsid w:val="000832B5"/>
    <w:rsid w:val="00083E7C"/>
    <w:rsid w:val="00092467"/>
    <w:rsid w:val="00092FA4"/>
    <w:rsid w:val="000935D4"/>
    <w:rsid w:val="00095D5F"/>
    <w:rsid w:val="0009644E"/>
    <w:rsid w:val="000965FE"/>
    <w:rsid w:val="000A00E1"/>
    <w:rsid w:val="000A40F3"/>
    <w:rsid w:val="000A548C"/>
    <w:rsid w:val="000B3925"/>
    <w:rsid w:val="000B61B7"/>
    <w:rsid w:val="000B677E"/>
    <w:rsid w:val="000C26F6"/>
    <w:rsid w:val="000C54B8"/>
    <w:rsid w:val="000C64E3"/>
    <w:rsid w:val="000D01A1"/>
    <w:rsid w:val="000D2F88"/>
    <w:rsid w:val="000D36FF"/>
    <w:rsid w:val="000E2C8A"/>
    <w:rsid w:val="000E5BF5"/>
    <w:rsid w:val="000E7344"/>
    <w:rsid w:val="000F0873"/>
    <w:rsid w:val="000F2217"/>
    <w:rsid w:val="001001DE"/>
    <w:rsid w:val="0010244A"/>
    <w:rsid w:val="00102B77"/>
    <w:rsid w:val="001114BD"/>
    <w:rsid w:val="00112D51"/>
    <w:rsid w:val="00127A7A"/>
    <w:rsid w:val="00136A85"/>
    <w:rsid w:val="00140755"/>
    <w:rsid w:val="00141B50"/>
    <w:rsid w:val="00141D79"/>
    <w:rsid w:val="001467CC"/>
    <w:rsid w:val="001543E2"/>
    <w:rsid w:val="00154D6B"/>
    <w:rsid w:val="00157DF1"/>
    <w:rsid w:val="00164017"/>
    <w:rsid w:val="001701E6"/>
    <w:rsid w:val="00170D60"/>
    <w:rsid w:val="00174387"/>
    <w:rsid w:val="00175206"/>
    <w:rsid w:val="001755B2"/>
    <w:rsid w:val="00175D17"/>
    <w:rsid w:val="00177543"/>
    <w:rsid w:val="0017791B"/>
    <w:rsid w:val="00181420"/>
    <w:rsid w:val="001822E7"/>
    <w:rsid w:val="00182A03"/>
    <w:rsid w:val="00182AB6"/>
    <w:rsid w:val="001831C9"/>
    <w:rsid w:val="001912FF"/>
    <w:rsid w:val="001A216B"/>
    <w:rsid w:val="001A23AD"/>
    <w:rsid w:val="001A3037"/>
    <w:rsid w:val="001A580D"/>
    <w:rsid w:val="001A749B"/>
    <w:rsid w:val="001B08CE"/>
    <w:rsid w:val="001B29EE"/>
    <w:rsid w:val="001B3CC8"/>
    <w:rsid w:val="001B53BE"/>
    <w:rsid w:val="001B544A"/>
    <w:rsid w:val="001C17CC"/>
    <w:rsid w:val="001C2C02"/>
    <w:rsid w:val="001C49D9"/>
    <w:rsid w:val="001C5828"/>
    <w:rsid w:val="001C6012"/>
    <w:rsid w:val="001D2862"/>
    <w:rsid w:val="001D2F2C"/>
    <w:rsid w:val="001D3217"/>
    <w:rsid w:val="001D56BE"/>
    <w:rsid w:val="001D5B4A"/>
    <w:rsid w:val="001D5FCF"/>
    <w:rsid w:val="001D6118"/>
    <w:rsid w:val="001E0676"/>
    <w:rsid w:val="001E0CC6"/>
    <w:rsid w:val="001E19AA"/>
    <w:rsid w:val="001E4218"/>
    <w:rsid w:val="001F2D7F"/>
    <w:rsid w:val="001F590C"/>
    <w:rsid w:val="001F71DF"/>
    <w:rsid w:val="001F7A85"/>
    <w:rsid w:val="002033FA"/>
    <w:rsid w:val="00204CB6"/>
    <w:rsid w:val="00204D9C"/>
    <w:rsid w:val="00205786"/>
    <w:rsid w:val="0020793D"/>
    <w:rsid w:val="00210038"/>
    <w:rsid w:val="00211784"/>
    <w:rsid w:val="00211928"/>
    <w:rsid w:val="00214A89"/>
    <w:rsid w:val="00214B00"/>
    <w:rsid w:val="00214C15"/>
    <w:rsid w:val="0021537F"/>
    <w:rsid w:val="002161D7"/>
    <w:rsid w:val="00216D2C"/>
    <w:rsid w:val="002171D9"/>
    <w:rsid w:val="0021739C"/>
    <w:rsid w:val="002217C5"/>
    <w:rsid w:val="00223065"/>
    <w:rsid w:val="00224F38"/>
    <w:rsid w:val="002255A2"/>
    <w:rsid w:val="00225DCC"/>
    <w:rsid w:val="00226AF3"/>
    <w:rsid w:val="00230B8E"/>
    <w:rsid w:val="00232630"/>
    <w:rsid w:val="00235532"/>
    <w:rsid w:val="002416DA"/>
    <w:rsid w:val="00243CAA"/>
    <w:rsid w:val="00245F36"/>
    <w:rsid w:val="002506BE"/>
    <w:rsid w:val="00251905"/>
    <w:rsid w:val="00265419"/>
    <w:rsid w:val="00266488"/>
    <w:rsid w:val="00266592"/>
    <w:rsid w:val="00267533"/>
    <w:rsid w:val="00271282"/>
    <w:rsid w:val="0027366D"/>
    <w:rsid w:val="00274736"/>
    <w:rsid w:val="002764FA"/>
    <w:rsid w:val="0027706D"/>
    <w:rsid w:val="002802CE"/>
    <w:rsid w:val="00281313"/>
    <w:rsid w:val="00287853"/>
    <w:rsid w:val="0029307E"/>
    <w:rsid w:val="00295C1D"/>
    <w:rsid w:val="002965B3"/>
    <w:rsid w:val="00296C4B"/>
    <w:rsid w:val="002A0798"/>
    <w:rsid w:val="002A0D45"/>
    <w:rsid w:val="002A14B5"/>
    <w:rsid w:val="002A1F59"/>
    <w:rsid w:val="002A4E5F"/>
    <w:rsid w:val="002A5CF9"/>
    <w:rsid w:val="002B3667"/>
    <w:rsid w:val="002B397D"/>
    <w:rsid w:val="002C1630"/>
    <w:rsid w:val="002C2D42"/>
    <w:rsid w:val="002C5256"/>
    <w:rsid w:val="002C725B"/>
    <w:rsid w:val="002C7646"/>
    <w:rsid w:val="002D074C"/>
    <w:rsid w:val="002D1859"/>
    <w:rsid w:val="002D1D09"/>
    <w:rsid w:val="002D34BD"/>
    <w:rsid w:val="002D49F9"/>
    <w:rsid w:val="002D51EE"/>
    <w:rsid w:val="002D70BA"/>
    <w:rsid w:val="002E3CAB"/>
    <w:rsid w:val="002E5DCC"/>
    <w:rsid w:val="002F132B"/>
    <w:rsid w:val="002F5D83"/>
    <w:rsid w:val="002F632C"/>
    <w:rsid w:val="002F63A0"/>
    <w:rsid w:val="002F6E5D"/>
    <w:rsid w:val="002F7419"/>
    <w:rsid w:val="0030102F"/>
    <w:rsid w:val="00304206"/>
    <w:rsid w:val="0030446F"/>
    <w:rsid w:val="00306238"/>
    <w:rsid w:val="00313096"/>
    <w:rsid w:val="00313234"/>
    <w:rsid w:val="00314D4B"/>
    <w:rsid w:val="00314EDA"/>
    <w:rsid w:val="003169C6"/>
    <w:rsid w:val="003176E9"/>
    <w:rsid w:val="00321302"/>
    <w:rsid w:val="0032252B"/>
    <w:rsid w:val="00322C1D"/>
    <w:rsid w:val="00325981"/>
    <w:rsid w:val="00332B4D"/>
    <w:rsid w:val="00340AA4"/>
    <w:rsid w:val="00344448"/>
    <w:rsid w:val="00344B6D"/>
    <w:rsid w:val="00345FDB"/>
    <w:rsid w:val="00346979"/>
    <w:rsid w:val="003469C7"/>
    <w:rsid w:val="00350D91"/>
    <w:rsid w:val="00350DEB"/>
    <w:rsid w:val="00353C5C"/>
    <w:rsid w:val="0036211B"/>
    <w:rsid w:val="003622AE"/>
    <w:rsid w:val="00362A91"/>
    <w:rsid w:val="00366716"/>
    <w:rsid w:val="00371237"/>
    <w:rsid w:val="003720B8"/>
    <w:rsid w:val="003745BA"/>
    <w:rsid w:val="003748B6"/>
    <w:rsid w:val="003748F7"/>
    <w:rsid w:val="00375B87"/>
    <w:rsid w:val="00376A25"/>
    <w:rsid w:val="003774FA"/>
    <w:rsid w:val="00377C4C"/>
    <w:rsid w:val="00380D8D"/>
    <w:rsid w:val="0038150B"/>
    <w:rsid w:val="00381815"/>
    <w:rsid w:val="00387F02"/>
    <w:rsid w:val="00391918"/>
    <w:rsid w:val="00391E75"/>
    <w:rsid w:val="00397947"/>
    <w:rsid w:val="003979FA"/>
    <w:rsid w:val="003A2F3C"/>
    <w:rsid w:val="003A34FC"/>
    <w:rsid w:val="003A73E2"/>
    <w:rsid w:val="003B6117"/>
    <w:rsid w:val="003C11BF"/>
    <w:rsid w:val="003C3C97"/>
    <w:rsid w:val="003C3F45"/>
    <w:rsid w:val="003C5EEC"/>
    <w:rsid w:val="003C6223"/>
    <w:rsid w:val="003C7472"/>
    <w:rsid w:val="003D0914"/>
    <w:rsid w:val="003D1206"/>
    <w:rsid w:val="003D47D4"/>
    <w:rsid w:val="003D50B0"/>
    <w:rsid w:val="003D74A1"/>
    <w:rsid w:val="003E32F0"/>
    <w:rsid w:val="003E40DE"/>
    <w:rsid w:val="003E4CB3"/>
    <w:rsid w:val="003E73C4"/>
    <w:rsid w:val="003F5565"/>
    <w:rsid w:val="003F6D93"/>
    <w:rsid w:val="00401922"/>
    <w:rsid w:val="0040503D"/>
    <w:rsid w:val="00405231"/>
    <w:rsid w:val="00407B09"/>
    <w:rsid w:val="00410315"/>
    <w:rsid w:val="004109C4"/>
    <w:rsid w:val="004119A4"/>
    <w:rsid w:val="00413752"/>
    <w:rsid w:val="00417D19"/>
    <w:rsid w:val="0042137B"/>
    <w:rsid w:val="0042426E"/>
    <w:rsid w:val="004242B2"/>
    <w:rsid w:val="00424EC6"/>
    <w:rsid w:val="00425033"/>
    <w:rsid w:val="004277C0"/>
    <w:rsid w:val="0043228A"/>
    <w:rsid w:val="00433C3C"/>
    <w:rsid w:val="00433D35"/>
    <w:rsid w:val="00436D03"/>
    <w:rsid w:val="004442CD"/>
    <w:rsid w:val="00444BE6"/>
    <w:rsid w:val="00445CF5"/>
    <w:rsid w:val="0044647E"/>
    <w:rsid w:val="00447A99"/>
    <w:rsid w:val="00450F3B"/>
    <w:rsid w:val="0045482E"/>
    <w:rsid w:val="0046231B"/>
    <w:rsid w:val="004625CC"/>
    <w:rsid w:val="00463709"/>
    <w:rsid w:val="00464255"/>
    <w:rsid w:val="00467817"/>
    <w:rsid w:val="00472514"/>
    <w:rsid w:val="0047454A"/>
    <w:rsid w:val="0047778C"/>
    <w:rsid w:val="004838E0"/>
    <w:rsid w:val="00486CD2"/>
    <w:rsid w:val="00494435"/>
    <w:rsid w:val="00495DCF"/>
    <w:rsid w:val="00497B02"/>
    <w:rsid w:val="00497ECD"/>
    <w:rsid w:val="004A0FC6"/>
    <w:rsid w:val="004A122C"/>
    <w:rsid w:val="004A1802"/>
    <w:rsid w:val="004A2CA8"/>
    <w:rsid w:val="004A5FD9"/>
    <w:rsid w:val="004B13D3"/>
    <w:rsid w:val="004B1840"/>
    <w:rsid w:val="004B3BD6"/>
    <w:rsid w:val="004B4FA0"/>
    <w:rsid w:val="004B6EC1"/>
    <w:rsid w:val="004C345A"/>
    <w:rsid w:val="004C4D27"/>
    <w:rsid w:val="004C69F7"/>
    <w:rsid w:val="004C767C"/>
    <w:rsid w:val="004D1D44"/>
    <w:rsid w:val="004D3375"/>
    <w:rsid w:val="004D4FA2"/>
    <w:rsid w:val="004D6B73"/>
    <w:rsid w:val="004E23A7"/>
    <w:rsid w:val="004E59CC"/>
    <w:rsid w:val="004F1280"/>
    <w:rsid w:val="004F453C"/>
    <w:rsid w:val="004F56B6"/>
    <w:rsid w:val="00505E39"/>
    <w:rsid w:val="005072C1"/>
    <w:rsid w:val="005107E2"/>
    <w:rsid w:val="00512398"/>
    <w:rsid w:val="00514038"/>
    <w:rsid w:val="00515EE1"/>
    <w:rsid w:val="00521CCA"/>
    <w:rsid w:val="005239FC"/>
    <w:rsid w:val="00524A67"/>
    <w:rsid w:val="005265A3"/>
    <w:rsid w:val="00527650"/>
    <w:rsid w:val="005326EC"/>
    <w:rsid w:val="005330DF"/>
    <w:rsid w:val="005339EA"/>
    <w:rsid w:val="00533D81"/>
    <w:rsid w:val="00534F73"/>
    <w:rsid w:val="00537BB9"/>
    <w:rsid w:val="00540669"/>
    <w:rsid w:val="005545E1"/>
    <w:rsid w:val="00562382"/>
    <w:rsid w:val="00563607"/>
    <w:rsid w:val="00566112"/>
    <w:rsid w:val="0057419B"/>
    <w:rsid w:val="00581E7A"/>
    <w:rsid w:val="00581ED0"/>
    <w:rsid w:val="00586D72"/>
    <w:rsid w:val="00587743"/>
    <w:rsid w:val="005952E0"/>
    <w:rsid w:val="0059713C"/>
    <w:rsid w:val="005A0779"/>
    <w:rsid w:val="005A4BA4"/>
    <w:rsid w:val="005A7152"/>
    <w:rsid w:val="005A72FC"/>
    <w:rsid w:val="005A75F8"/>
    <w:rsid w:val="005A7C0E"/>
    <w:rsid w:val="005B215F"/>
    <w:rsid w:val="005B248F"/>
    <w:rsid w:val="005B2D94"/>
    <w:rsid w:val="005B60DD"/>
    <w:rsid w:val="005B6177"/>
    <w:rsid w:val="005B7357"/>
    <w:rsid w:val="005B7542"/>
    <w:rsid w:val="005C1B7D"/>
    <w:rsid w:val="005C3C1B"/>
    <w:rsid w:val="005C5FCA"/>
    <w:rsid w:val="005D0907"/>
    <w:rsid w:val="005D0A4E"/>
    <w:rsid w:val="005D2B94"/>
    <w:rsid w:val="005D2E96"/>
    <w:rsid w:val="005D608E"/>
    <w:rsid w:val="005D64DB"/>
    <w:rsid w:val="005E13F4"/>
    <w:rsid w:val="005E1D92"/>
    <w:rsid w:val="005E318F"/>
    <w:rsid w:val="005E534F"/>
    <w:rsid w:val="005E6D51"/>
    <w:rsid w:val="005E7531"/>
    <w:rsid w:val="00600C84"/>
    <w:rsid w:val="00600DC6"/>
    <w:rsid w:val="00601B37"/>
    <w:rsid w:val="00601C20"/>
    <w:rsid w:val="006023B4"/>
    <w:rsid w:val="00607327"/>
    <w:rsid w:val="00610719"/>
    <w:rsid w:val="00610FA5"/>
    <w:rsid w:val="00612CF6"/>
    <w:rsid w:val="00630046"/>
    <w:rsid w:val="0063269D"/>
    <w:rsid w:val="00634799"/>
    <w:rsid w:val="0064099B"/>
    <w:rsid w:val="00645A06"/>
    <w:rsid w:val="00647AE6"/>
    <w:rsid w:val="006517FF"/>
    <w:rsid w:val="00654000"/>
    <w:rsid w:val="0065564C"/>
    <w:rsid w:val="00657637"/>
    <w:rsid w:val="006617E1"/>
    <w:rsid w:val="006623BE"/>
    <w:rsid w:val="00664AE2"/>
    <w:rsid w:val="00671937"/>
    <w:rsid w:val="00673FAC"/>
    <w:rsid w:val="00675D48"/>
    <w:rsid w:val="0067794A"/>
    <w:rsid w:val="006826B8"/>
    <w:rsid w:val="00684D03"/>
    <w:rsid w:val="006862BC"/>
    <w:rsid w:val="006923F4"/>
    <w:rsid w:val="00693B06"/>
    <w:rsid w:val="006A01A4"/>
    <w:rsid w:val="006A1017"/>
    <w:rsid w:val="006A1CE2"/>
    <w:rsid w:val="006A235D"/>
    <w:rsid w:val="006A2B75"/>
    <w:rsid w:val="006A64FB"/>
    <w:rsid w:val="006A65D2"/>
    <w:rsid w:val="006A6F04"/>
    <w:rsid w:val="006B11FD"/>
    <w:rsid w:val="006B153B"/>
    <w:rsid w:val="006B15B9"/>
    <w:rsid w:val="006B216F"/>
    <w:rsid w:val="006B240B"/>
    <w:rsid w:val="006C01F6"/>
    <w:rsid w:val="006C2B98"/>
    <w:rsid w:val="006C4CC6"/>
    <w:rsid w:val="006D0D12"/>
    <w:rsid w:val="006D1A39"/>
    <w:rsid w:val="006D1EE5"/>
    <w:rsid w:val="006D1F2E"/>
    <w:rsid w:val="006D33AA"/>
    <w:rsid w:val="006D6645"/>
    <w:rsid w:val="006D6BF0"/>
    <w:rsid w:val="006F35CB"/>
    <w:rsid w:val="006F51E9"/>
    <w:rsid w:val="006F5216"/>
    <w:rsid w:val="006F6FB1"/>
    <w:rsid w:val="0070348D"/>
    <w:rsid w:val="00704F17"/>
    <w:rsid w:val="00712B8E"/>
    <w:rsid w:val="00713C54"/>
    <w:rsid w:val="00715A23"/>
    <w:rsid w:val="0072045B"/>
    <w:rsid w:val="007341B3"/>
    <w:rsid w:val="00734D4E"/>
    <w:rsid w:val="00737B0F"/>
    <w:rsid w:val="007413CB"/>
    <w:rsid w:val="007422EE"/>
    <w:rsid w:val="0074498F"/>
    <w:rsid w:val="00744CE8"/>
    <w:rsid w:val="007452A6"/>
    <w:rsid w:val="00750EAD"/>
    <w:rsid w:val="007528B4"/>
    <w:rsid w:val="00762535"/>
    <w:rsid w:val="00770090"/>
    <w:rsid w:val="007743F1"/>
    <w:rsid w:val="00775548"/>
    <w:rsid w:val="00777138"/>
    <w:rsid w:val="00781156"/>
    <w:rsid w:val="0078165D"/>
    <w:rsid w:val="0079083B"/>
    <w:rsid w:val="00790C1F"/>
    <w:rsid w:val="0079123B"/>
    <w:rsid w:val="00792226"/>
    <w:rsid w:val="0079424C"/>
    <w:rsid w:val="007954A0"/>
    <w:rsid w:val="00795D1E"/>
    <w:rsid w:val="007A26D0"/>
    <w:rsid w:val="007A2724"/>
    <w:rsid w:val="007A3FC8"/>
    <w:rsid w:val="007B41CF"/>
    <w:rsid w:val="007C12B1"/>
    <w:rsid w:val="007C28DE"/>
    <w:rsid w:val="007D0C5B"/>
    <w:rsid w:val="007D2E57"/>
    <w:rsid w:val="007D3F3E"/>
    <w:rsid w:val="007D66F8"/>
    <w:rsid w:val="007D688E"/>
    <w:rsid w:val="007E47B1"/>
    <w:rsid w:val="007E6110"/>
    <w:rsid w:val="007E7225"/>
    <w:rsid w:val="007F0492"/>
    <w:rsid w:val="007F3CD8"/>
    <w:rsid w:val="007F46B5"/>
    <w:rsid w:val="007F545F"/>
    <w:rsid w:val="007F58DD"/>
    <w:rsid w:val="008159D2"/>
    <w:rsid w:val="00820092"/>
    <w:rsid w:val="00822982"/>
    <w:rsid w:val="0083124E"/>
    <w:rsid w:val="00834CE8"/>
    <w:rsid w:val="00835099"/>
    <w:rsid w:val="00836536"/>
    <w:rsid w:val="00837947"/>
    <w:rsid w:val="00837949"/>
    <w:rsid w:val="008503EB"/>
    <w:rsid w:val="00855176"/>
    <w:rsid w:val="00862368"/>
    <w:rsid w:val="00871563"/>
    <w:rsid w:val="00871600"/>
    <w:rsid w:val="00872930"/>
    <w:rsid w:val="00872B7A"/>
    <w:rsid w:val="00872C60"/>
    <w:rsid w:val="00873BE2"/>
    <w:rsid w:val="0087559E"/>
    <w:rsid w:val="008772AE"/>
    <w:rsid w:val="0087742E"/>
    <w:rsid w:val="00877FC6"/>
    <w:rsid w:val="00880A39"/>
    <w:rsid w:val="0088149C"/>
    <w:rsid w:val="00884844"/>
    <w:rsid w:val="00884FD3"/>
    <w:rsid w:val="00885DE3"/>
    <w:rsid w:val="00893CB2"/>
    <w:rsid w:val="008972EE"/>
    <w:rsid w:val="008A1545"/>
    <w:rsid w:val="008B145D"/>
    <w:rsid w:val="008B3273"/>
    <w:rsid w:val="008C185A"/>
    <w:rsid w:val="008C1D09"/>
    <w:rsid w:val="008C409A"/>
    <w:rsid w:val="008C46CF"/>
    <w:rsid w:val="008D3FDF"/>
    <w:rsid w:val="008D53BE"/>
    <w:rsid w:val="008E1526"/>
    <w:rsid w:val="008E1EA4"/>
    <w:rsid w:val="008E2E3D"/>
    <w:rsid w:val="008E4474"/>
    <w:rsid w:val="009027FC"/>
    <w:rsid w:val="00904BAD"/>
    <w:rsid w:val="009069C5"/>
    <w:rsid w:val="00910475"/>
    <w:rsid w:val="0091245D"/>
    <w:rsid w:val="00916041"/>
    <w:rsid w:val="0092059B"/>
    <w:rsid w:val="00920B44"/>
    <w:rsid w:val="00924F77"/>
    <w:rsid w:val="0092574A"/>
    <w:rsid w:val="00927A06"/>
    <w:rsid w:val="00930087"/>
    <w:rsid w:val="00934BF2"/>
    <w:rsid w:val="0093551B"/>
    <w:rsid w:val="00944BBF"/>
    <w:rsid w:val="00947D56"/>
    <w:rsid w:val="009520EF"/>
    <w:rsid w:val="0095300A"/>
    <w:rsid w:val="009555EB"/>
    <w:rsid w:val="009575E2"/>
    <w:rsid w:val="0096349D"/>
    <w:rsid w:val="00964BC9"/>
    <w:rsid w:val="0096780F"/>
    <w:rsid w:val="00971DFE"/>
    <w:rsid w:val="00971E58"/>
    <w:rsid w:val="009739A9"/>
    <w:rsid w:val="0097427D"/>
    <w:rsid w:val="00975C0F"/>
    <w:rsid w:val="009803A0"/>
    <w:rsid w:val="00980E6A"/>
    <w:rsid w:val="00981717"/>
    <w:rsid w:val="009836A3"/>
    <w:rsid w:val="0098386B"/>
    <w:rsid w:val="00984DA4"/>
    <w:rsid w:val="00985949"/>
    <w:rsid w:val="0098757D"/>
    <w:rsid w:val="0098797D"/>
    <w:rsid w:val="00987AD9"/>
    <w:rsid w:val="00987E8E"/>
    <w:rsid w:val="0099146D"/>
    <w:rsid w:val="00992E31"/>
    <w:rsid w:val="00994237"/>
    <w:rsid w:val="0099447D"/>
    <w:rsid w:val="0099696A"/>
    <w:rsid w:val="009A7452"/>
    <w:rsid w:val="009B147F"/>
    <w:rsid w:val="009B17EA"/>
    <w:rsid w:val="009B5740"/>
    <w:rsid w:val="009B6FAA"/>
    <w:rsid w:val="009D5479"/>
    <w:rsid w:val="009E2EE7"/>
    <w:rsid w:val="009E3F79"/>
    <w:rsid w:val="009E5FE2"/>
    <w:rsid w:val="009E75A5"/>
    <w:rsid w:val="009F2872"/>
    <w:rsid w:val="009F5849"/>
    <w:rsid w:val="009F5D9A"/>
    <w:rsid w:val="00A04C20"/>
    <w:rsid w:val="00A1308F"/>
    <w:rsid w:val="00A1752A"/>
    <w:rsid w:val="00A21200"/>
    <w:rsid w:val="00A223C0"/>
    <w:rsid w:val="00A3031F"/>
    <w:rsid w:val="00A307BB"/>
    <w:rsid w:val="00A348B6"/>
    <w:rsid w:val="00A372A3"/>
    <w:rsid w:val="00A40391"/>
    <w:rsid w:val="00A46252"/>
    <w:rsid w:val="00A50449"/>
    <w:rsid w:val="00A52D54"/>
    <w:rsid w:val="00A52D68"/>
    <w:rsid w:val="00A53666"/>
    <w:rsid w:val="00A60D52"/>
    <w:rsid w:val="00A6133C"/>
    <w:rsid w:val="00A63859"/>
    <w:rsid w:val="00A67A7C"/>
    <w:rsid w:val="00A71C86"/>
    <w:rsid w:val="00A73C20"/>
    <w:rsid w:val="00A746AA"/>
    <w:rsid w:val="00A75721"/>
    <w:rsid w:val="00A77061"/>
    <w:rsid w:val="00A813E5"/>
    <w:rsid w:val="00A81477"/>
    <w:rsid w:val="00A81FF2"/>
    <w:rsid w:val="00A8305D"/>
    <w:rsid w:val="00A849FF"/>
    <w:rsid w:val="00A85501"/>
    <w:rsid w:val="00A86B5F"/>
    <w:rsid w:val="00A9431F"/>
    <w:rsid w:val="00A94BF3"/>
    <w:rsid w:val="00AA027C"/>
    <w:rsid w:val="00AA0858"/>
    <w:rsid w:val="00AA31D4"/>
    <w:rsid w:val="00AA580A"/>
    <w:rsid w:val="00AA60BD"/>
    <w:rsid w:val="00AB2FE2"/>
    <w:rsid w:val="00AB5440"/>
    <w:rsid w:val="00AB7F21"/>
    <w:rsid w:val="00AC3CC5"/>
    <w:rsid w:val="00AC43BF"/>
    <w:rsid w:val="00AD10C7"/>
    <w:rsid w:val="00AD19A8"/>
    <w:rsid w:val="00AD28CB"/>
    <w:rsid w:val="00AD5F0B"/>
    <w:rsid w:val="00AE1F33"/>
    <w:rsid w:val="00AE35BC"/>
    <w:rsid w:val="00AF44A9"/>
    <w:rsid w:val="00AF5EAA"/>
    <w:rsid w:val="00AF60B2"/>
    <w:rsid w:val="00AF6FD8"/>
    <w:rsid w:val="00B00352"/>
    <w:rsid w:val="00B009A4"/>
    <w:rsid w:val="00B00B08"/>
    <w:rsid w:val="00B01A15"/>
    <w:rsid w:val="00B07EB4"/>
    <w:rsid w:val="00B11F4E"/>
    <w:rsid w:val="00B132CF"/>
    <w:rsid w:val="00B1467F"/>
    <w:rsid w:val="00B250E5"/>
    <w:rsid w:val="00B2588F"/>
    <w:rsid w:val="00B26A0C"/>
    <w:rsid w:val="00B27540"/>
    <w:rsid w:val="00B27A4E"/>
    <w:rsid w:val="00B3218D"/>
    <w:rsid w:val="00B33D41"/>
    <w:rsid w:val="00B3693E"/>
    <w:rsid w:val="00B37036"/>
    <w:rsid w:val="00B4201A"/>
    <w:rsid w:val="00B4204B"/>
    <w:rsid w:val="00B42654"/>
    <w:rsid w:val="00B44AC5"/>
    <w:rsid w:val="00B47D95"/>
    <w:rsid w:val="00B50129"/>
    <w:rsid w:val="00B50F16"/>
    <w:rsid w:val="00B5450D"/>
    <w:rsid w:val="00B55B47"/>
    <w:rsid w:val="00B55B97"/>
    <w:rsid w:val="00B57C4E"/>
    <w:rsid w:val="00B57E31"/>
    <w:rsid w:val="00B610CB"/>
    <w:rsid w:val="00B631A1"/>
    <w:rsid w:val="00B65EC4"/>
    <w:rsid w:val="00B65FAD"/>
    <w:rsid w:val="00B6725E"/>
    <w:rsid w:val="00B766F0"/>
    <w:rsid w:val="00B77F72"/>
    <w:rsid w:val="00B80994"/>
    <w:rsid w:val="00B80B0A"/>
    <w:rsid w:val="00B827E1"/>
    <w:rsid w:val="00B829D0"/>
    <w:rsid w:val="00B8477E"/>
    <w:rsid w:val="00B84DC9"/>
    <w:rsid w:val="00B8585F"/>
    <w:rsid w:val="00B8762C"/>
    <w:rsid w:val="00B901AC"/>
    <w:rsid w:val="00B90716"/>
    <w:rsid w:val="00B915E5"/>
    <w:rsid w:val="00B972E7"/>
    <w:rsid w:val="00BA0678"/>
    <w:rsid w:val="00BB07B7"/>
    <w:rsid w:val="00BB2122"/>
    <w:rsid w:val="00BB3ABA"/>
    <w:rsid w:val="00BB4673"/>
    <w:rsid w:val="00BB503E"/>
    <w:rsid w:val="00BB6F7A"/>
    <w:rsid w:val="00BC5604"/>
    <w:rsid w:val="00BD0545"/>
    <w:rsid w:val="00BD12E0"/>
    <w:rsid w:val="00BD1346"/>
    <w:rsid w:val="00BD1F87"/>
    <w:rsid w:val="00BD24C1"/>
    <w:rsid w:val="00BD2C62"/>
    <w:rsid w:val="00BD3DDF"/>
    <w:rsid w:val="00BD3FE1"/>
    <w:rsid w:val="00BD593E"/>
    <w:rsid w:val="00BD668A"/>
    <w:rsid w:val="00BD7A71"/>
    <w:rsid w:val="00BD7AF5"/>
    <w:rsid w:val="00BE186E"/>
    <w:rsid w:val="00BE3231"/>
    <w:rsid w:val="00BE7DA6"/>
    <w:rsid w:val="00BF0CC1"/>
    <w:rsid w:val="00BF1D86"/>
    <w:rsid w:val="00BF392C"/>
    <w:rsid w:val="00C038D1"/>
    <w:rsid w:val="00C05A5A"/>
    <w:rsid w:val="00C0669C"/>
    <w:rsid w:val="00C073BB"/>
    <w:rsid w:val="00C0760D"/>
    <w:rsid w:val="00C077A8"/>
    <w:rsid w:val="00C10879"/>
    <w:rsid w:val="00C145A8"/>
    <w:rsid w:val="00C14EF6"/>
    <w:rsid w:val="00C16204"/>
    <w:rsid w:val="00C242CE"/>
    <w:rsid w:val="00C25B86"/>
    <w:rsid w:val="00C30F99"/>
    <w:rsid w:val="00C32FF8"/>
    <w:rsid w:val="00C34258"/>
    <w:rsid w:val="00C36081"/>
    <w:rsid w:val="00C51D9D"/>
    <w:rsid w:val="00C54301"/>
    <w:rsid w:val="00C56F32"/>
    <w:rsid w:val="00C65933"/>
    <w:rsid w:val="00C73DB2"/>
    <w:rsid w:val="00C7725E"/>
    <w:rsid w:val="00C82FE8"/>
    <w:rsid w:val="00C840DF"/>
    <w:rsid w:val="00C86869"/>
    <w:rsid w:val="00C90007"/>
    <w:rsid w:val="00C92566"/>
    <w:rsid w:val="00C97FFB"/>
    <w:rsid w:val="00CA3D52"/>
    <w:rsid w:val="00CA4161"/>
    <w:rsid w:val="00CA4C6E"/>
    <w:rsid w:val="00CA6D92"/>
    <w:rsid w:val="00CB0973"/>
    <w:rsid w:val="00CB348E"/>
    <w:rsid w:val="00CC0879"/>
    <w:rsid w:val="00CE6095"/>
    <w:rsid w:val="00CE6662"/>
    <w:rsid w:val="00CE7CA9"/>
    <w:rsid w:val="00CF2266"/>
    <w:rsid w:val="00CF239F"/>
    <w:rsid w:val="00CF451E"/>
    <w:rsid w:val="00D014A9"/>
    <w:rsid w:val="00D04252"/>
    <w:rsid w:val="00D04A65"/>
    <w:rsid w:val="00D06392"/>
    <w:rsid w:val="00D06DA1"/>
    <w:rsid w:val="00D1168E"/>
    <w:rsid w:val="00D16E0B"/>
    <w:rsid w:val="00D174FB"/>
    <w:rsid w:val="00D23622"/>
    <w:rsid w:val="00D25C01"/>
    <w:rsid w:val="00D3274F"/>
    <w:rsid w:val="00D3545C"/>
    <w:rsid w:val="00D4692D"/>
    <w:rsid w:val="00D46D95"/>
    <w:rsid w:val="00D508F0"/>
    <w:rsid w:val="00D51E47"/>
    <w:rsid w:val="00D52E1D"/>
    <w:rsid w:val="00D5564A"/>
    <w:rsid w:val="00D55974"/>
    <w:rsid w:val="00D61690"/>
    <w:rsid w:val="00D61D73"/>
    <w:rsid w:val="00D63171"/>
    <w:rsid w:val="00D63D50"/>
    <w:rsid w:val="00D7380F"/>
    <w:rsid w:val="00D76D1F"/>
    <w:rsid w:val="00D80878"/>
    <w:rsid w:val="00D81C49"/>
    <w:rsid w:val="00D82135"/>
    <w:rsid w:val="00D8283C"/>
    <w:rsid w:val="00D82BCF"/>
    <w:rsid w:val="00D8512B"/>
    <w:rsid w:val="00D86083"/>
    <w:rsid w:val="00D862E7"/>
    <w:rsid w:val="00D86492"/>
    <w:rsid w:val="00D92E1B"/>
    <w:rsid w:val="00D93453"/>
    <w:rsid w:val="00D9772B"/>
    <w:rsid w:val="00D979A9"/>
    <w:rsid w:val="00DA1C61"/>
    <w:rsid w:val="00DA49F3"/>
    <w:rsid w:val="00DA4C3E"/>
    <w:rsid w:val="00DA612E"/>
    <w:rsid w:val="00DA6B01"/>
    <w:rsid w:val="00DA6CDD"/>
    <w:rsid w:val="00DB039D"/>
    <w:rsid w:val="00DB2696"/>
    <w:rsid w:val="00DB3D3D"/>
    <w:rsid w:val="00DB43BA"/>
    <w:rsid w:val="00DB57E2"/>
    <w:rsid w:val="00DC1125"/>
    <w:rsid w:val="00DC170A"/>
    <w:rsid w:val="00DC1B02"/>
    <w:rsid w:val="00DC1D74"/>
    <w:rsid w:val="00DC761A"/>
    <w:rsid w:val="00DD2C9C"/>
    <w:rsid w:val="00DD45DD"/>
    <w:rsid w:val="00DD6054"/>
    <w:rsid w:val="00DD6A84"/>
    <w:rsid w:val="00DE184A"/>
    <w:rsid w:val="00DE23F3"/>
    <w:rsid w:val="00DE2CC9"/>
    <w:rsid w:val="00DE6308"/>
    <w:rsid w:val="00DE7C11"/>
    <w:rsid w:val="00DF1029"/>
    <w:rsid w:val="00DF1813"/>
    <w:rsid w:val="00DF2D0F"/>
    <w:rsid w:val="00DF3912"/>
    <w:rsid w:val="00DF7E89"/>
    <w:rsid w:val="00DF7F5E"/>
    <w:rsid w:val="00E03467"/>
    <w:rsid w:val="00E05804"/>
    <w:rsid w:val="00E07A9F"/>
    <w:rsid w:val="00E156C6"/>
    <w:rsid w:val="00E15869"/>
    <w:rsid w:val="00E20DDE"/>
    <w:rsid w:val="00E21BF7"/>
    <w:rsid w:val="00E226C8"/>
    <w:rsid w:val="00E22D89"/>
    <w:rsid w:val="00E27E16"/>
    <w:rsid w:val="00E306F3"/>
    <w:rsid w:val="00E32B2B"/>
    <w:rsid w:val="00E3333B"/>
    <w:rsid w:val="00E349C2"/>
    <w:rsid w:val="00E4134D"/>
    <w:rsid w:val="00E41E7C"/>
    <w:rsid w:val="00E42A9B"/>
    <w:rsid w:val="00E42C64"/>
    <w:rsid w:val="00E4333C"/>
    <w:rsid w:val="00E433BD"/>
    <w:rsid w:val="00E43677"/>
    <w:rsid w:val="00E43A73"/>
    <w:rsid w:val="00E459A5"/>
    <w:rsid w:val="00E47B1D"/>
    <w:rsid w:val="00E52B1A"/>
    <w:rsid w:val="00E60F2D"/>
    <w:rsid w:val="00E6407D"/>
    <w:rsid w:val="00E6435B"/>
    <w:rsid w:val="00E67E36"/>
    <w:rsid w:val="00E71191"/>
    <w:rsid w:val="00E7540B"/>
    <w:rsid w:val="00E7738B"/>
    <w:rsid w:val="00E777B4"/>
    <w:rsid w:val="00E80AFF"/>
    <w:rsid w:val="00E84FFE"/>
    <w:rsid w:val="00E867A1"/>
    <w:rsid w:val="00E8701A"/>
    <w:rsid w:val="00E90D04"/>
    <w:rsid w:val="00E91F9D"/>
    <w:rsid w:val="00E925EF"/>
    <w:rsid w:val="00EA1D95"/>
    <w:rsid w:val="00EA41F9"/>
    <w:rsid w:val="00EA5782"/>
    <w:rsid w:val="00EB27C4"/>
    <w:rsid w:val="00EB503B"/>
    <w:rsid w:val="00EB67E8"/>
    <w:rsid w:val="00EC4FFB"/>
    <w:rsid w:val="00EC5184"/>
    <w:rsid w:val="00EC5796"/>
    <w:rsid w:val="00EC5D26"/>
    <w:rsid w:val="00EC7C47"/>
    <w:rsid w:val="00ED2714"/>
    <w:rsid w:val="00ED397D"/>
    <w:rsid w:val="00ED5DD9"/>
    <w:rsid w:val="00ED74D0"/>
    <w:rsid w:val="00EE107E"/>
    <w:rsid w:val="00EF3DBF"/>
    <w:rsid w:val="00EF726A"/>
    <w:rsid w:val="00EF7692"/>
    <w:rsid w:val="00F051BA"/>
    <w:rsid w:val="00F0579C"/>
    <w:rsid w:val="00F07FF4"/>
    <w:rsid w:val="00F15703"/>
    <w:rsid w:val="00F16534"/>
    <w:rsid w:val="00F166C6"/>
    <w:rsid w:val="00F20B99"/>
    <w:rsid w:val="00F20EBB"/>
    <w:rsid w:val="00F22ABA"/>
    <w:rsid w:val="00F269E7"/>
    <w:rsid w:val="00F27A6B"/>
    <w:rsid w:val="00F33184"/>
    <w:rsid w:val="00F337AD"/>
    <w:rsid w:val="00F36937"/>
    <w:rsid w:val="00F41F3D"/>
    <w:rsid w:val="00F429FA"/>
    <w:rsid w:val="00F44575"/>
    <w:rsid w:val="00F51108"/>
    <w:rsid w:val="00F513FD"/>
    <w:rsid w:val="00F550AC"/>
    <w:rsid w:val="00F5692C"/>
    <w:rsid w:val="00F60D20"/>
    <w:rsid w:val="00F60DEC"/>
    <w:rsid w:val="00F61B07"/>
    <w:rsid w:val="00F625FE"/>
    <w:rsid w:val="00F651E8"/>
    <w:rsid w:val="00F6665A"/>
    <w:rsid w:val="00F66B11"/>
    <w:rsid w:val="00F71723"/>
    <w:rsid w:val="00F7197F"/>
    <w:rsid w:val="00F73D46"/>
    <w:rsid w:val="00F74503"/>
    <w:rsid w:val="00F74980"/>
    <w:rsid w:val="00F74F60"/>
    <w:rsid w:val="00F75D35"/>
    <w:rsid w:val="00F77B2B"/>
    <w:rsid w:val="00F82137"/>
    <w:rsid w:val="00F83633"/>
    <w:rsid w:val="00F83C74"/>
    <w:rsid w:val="00F84B87"/>
    <w:rsid w:val="00F86ED9"/>
    <w:rsid w:val="00F91E18"/>
    <w:rsid w:val="00F94FD4"/>
    <w:rsid w:val="00F95E7B"/>
    <w:rsid w:val="00F966D1"/>
    <w:rsid w:val="00FA0789"/>
    <w:rsid w:val="00FA1ADA"/>
    <w:rsid w:val="00FA2880"/>
    <w:rsid w:val="00FA49F5"/>
    <w:rsid w:val="00FA4E5F"/>
    <w:rsid w:val="00FB4275"/>
    <w:rsid w:val="00FC32A9"/>
    <w:rsid w:val="00FE3475"/>
    <w:rsid w:val="00FE4026"/>
    <w:rsid w:val="00FE56A8"/>
    <w:rsid w:val="00FE57B2"/>
    <w:rsid w:val="00FF17C9"/>
    <w:rsid w:val="00FF4A28"/>
    <w:rsid w:val="00FF528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98D51"/>
  <w15:chartTrackingRefBased/>
  <w15:docId w15:val="{D38CBC86-D385-C94D-A5C2-075925A58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sl-SI" w:eastAsia="en-US" w:bidi="ar-SA"/>
      </w:rPr>
    </w:rPrDefault>
    <w:pPrDefault>
      <w:pPr>
        <w:spacing w:before="2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9520EF"/>
    <w:pPr>
      <w:spacing w:line="360" w:lineRule="auto"/>
      <w:jc w:val="both"/>
    </w:pPr>
    <w:rPr>
      <w:sz w:val="24"/>
      <w:szCs w:val="20"/>
    </w:rPr>
  </w:style>
  <w:style w:type="paragraph" w:styleId="Naslov1">
    <w:name w:val="heading 1"/>
    <w:basedOn w:val="Navaden"/>
    <w:next w:val="Navaden"/>
    <w:link w:val="Naslov1Znak"/>
    <w:uiPriority w:val="9"/>
    <w:qFormat/>
    <w:rsid w:val="003D47D4"/>
    <w:pPr>
      <w:numPr>
        <w:numId w:val="8"/>
      </w:numPr>
      <w:pBdr>
        <w:top w:val="single" w:sz="24" w:space="0" w:color="AD84C6" w:themeColor="accent1"/>
        <w:left w:val="single" w:sz="24" w:space="0" w:color="AD84C6" w:themeColor="accent1"/>
        <w:bottom w:val="single" w:sz="24" w:space="0" w:color="AD84C6" w:themeColor="accent1"/>
        <w:right w:val="single" w:sz="24" w:space="0" w:color="AD84C6" w:themeColor="accent1"/>
      </w:pBdr>
      <w:shd w:val="clear" w:color="auto" w:fill="AD84C6" w:themeFill="accent1"/>
      <w:spacing w:after="0"/>
      <w:outlineLvl w:val="0"/>
    </w:pPr>
    <w:rPr>
      <w:b/>
      <w:bCs/>
      <w:caps/>
      <w:color w:val="FFFFFF" w:themeColor="background1"/>
      <w:spacing w:val="15"/>
      <w:sz w:val="22"/>
      <w:szCs w:val="22"/>
    </w:rPr>
  </w:style>
  <w:style w:type="paragraph" w:styleId="Naslov2">
    <w:name w:val="heading 2"/>
    <w:basedOn w:val="Navaden"/>
    <w:next w:val="Navaden"/>
    <w:link w:val="Naslov2Znak"/>
    <w:uiPriority w:val="9"/>
    <w:unhideWhenUsed/>
    <w:qFormat/>
    <w:rsid w:val="003D47D4"/>
    <w:pPr>
      <w:numPr>
        <w:ilvl w:val="1"/>
        <w:numId w:val="8"/>
      </w:numPr>
      <w:pBdr>
        <w:top w:val="single" w:sz="24" w:space="0" w:color="EEE6F3" w:themeColor="accent1" w:themeTint="33"/>
        <w:left w:val="single" w:sz="24" w:space="0" w:color="EEE6F3" w:themeColor="accent1" w:themeTint="33"/>
        <w:bottom w:val="single" w:sz="24" w:space="0" w:color="EEE6F3" w:themeColor="accent1" w:themeTint="33"/>
        <w:right w:val="single" w:sz="24" w:space="0" w:color="EEE6F3" w:themeColor="accent1" w:themeTint="33"/>
      </w:pBdr>
      <w:shd w:val="clear" w:color="auto" w:fill="EEE6F3" w:themeFill="accent1" w:themeFillTint="33"/>
      <w:spacing w:after="0"/>
      <w:outlineLvl w:val="1"/>
    </w:pPr>
    <w:rPr>
      <w:caps/>
      <w:spacing w:val="15"/>
      <w:sz w:val="22"/>
      <w:szCs w:val="22"/>
    </w:rPr>
  </w:style>
  <w:style w:type="paragraph" w:styleId="Naslov3">
    <w:name w:val="heading 3"/>
    <w:basedOn w:val="Navaden"/>
    <w:next w:val="Navaden"/>
    <w:link w:val="Naslov3Znak"/>
    <w:uiPriority w:val="9"/>
    <w:unhideWhenUsed/>
    <w:qFormat/>
    <w:rsid w:val="008E1EA4"/>
    <w:pPr>
      <w:numPr>
        <w:ilvl w:val="2"/>
        <w:numId w:val="8"/>
      </w:numPr>
      <w:pBdr>
        <w:top w:val="single" w:sz="6" w:space="2" w:color="AD84C6" w:themeColor="accent1"/>
        <w:left w:val="single" w:sz="6" w:space="2" w:color="AD84C6" w:themeColor="accent1"/>
      </w:pBdr>
      <w:spacing w:before="300" w:after="0"/>
      <w:outlineLvl w:val="2"/>
    </w:pPr>
    <w:rPr>
      <w:caps/>
      <w:color w:val="593470" w:themeColor="accent1" w:themeShade="7F"/>
      <w:spacing w:val="15"/>
      <w:sz w:val="22"/>
      <w:szCs w:val="22"/>
    </w:rPr>
  </w:style>
  <w:style w:type="paragraph" w:styleId="Naslov4">
    <w:name w:val="heading 4"/>
    <w:basedOn w:val="Navaden"/>
    <w:next w:val="Navaden"/>
    <w:link w:val="Naslov4Znak"/>
    <w:uiPriority w:val="9"/>
    <w:unhideWhenUsed/>
    <w:qFormat/>
    <w:rsid w:val="008E1EA4"/>
    <w:pPr>
      <w:numPr>
        <w:ilvl w:val="3"/>
        <w:numId w:val="8"/>
      </w:numPr>
      <w:pBdr>
        <w:top w:val="dotted" w:sz="6" w:space="2" w:color="AD84C6" w:themeColor="accent1"/>
        <w:left w:val="dotted" w:sz="6" w:space="2" w:color="AD84C6" w:themeColor="accent1"/>
      </w:pBdr>
      <w:spacing w:before="300" w:after="0"/>
      <w:outlineLvl w:val="3"/>
    </w:pPr>
    <w:rPr>
      <w:caps/>
      <w:color w:val="864EA8" w:themeColor="accent1" w:themeShade="BF"/>
      <w:spacing w:val="10"/>
      <w:sz w:val="22"/>
      <w:szCs w:val="22"/>
    </w:rPr>
  </w:style>
  <w:style w:type="paragraph" w:styleId="Naslov5">
    <w:name w:val="heading 5"/>
    <w:basedOn w:val="Navaden"/>
    <w:next w:val="Navaden"/>
    <w:link w:val="Naslov5Znak"/>
    <w:uiPriority w:val="9"/>
    <w:semiHidden/>
    <w:unhideWhenUsed/>
    <w:qFormat/>
    <w:rsid w:val="002171D9"/>
    <w:pPr>
      <w:numPr>
        <w:ilvl w:val="4"/>
        <w:numId w:val="8"/>
      </w:numPr>
      <w:pBdr>
        <w:bottom w:val="single" w:sz="6" w:space="1" w:color="AD84C6" w:themeColor="accent1"/>
      </w:pBdr>
      <w:spacing w:before="300" w:after="0"/>
      <w:outlineLvl w:val="4"/>
    </w:pPr>
    <w:rPr>
      <w:caps/>
      <w:color w:val="864EA8" w:themeColor="accent1" w:themeShade="BF"/>
      <w:spacing w:val="10"/>
      <w:sz w:val="22"/>
      <w:szCs w:val="22"/>
    </w:rPr>
  </w:style>
  <w:style w:type="paragraph" w:styleId="Naslov6">
    <w:name w:val="heading 6"/>
    <w:basedOn w:val="Navaden"/>
    <w:next w:val="Navaden"/>
    <w:link w:val="Naslov6Znak"/>
    <w:uiPriority w:val="9"/>
    <w:semiHidden/>
    <w:unhideWhenUsed/>
    <w:qFormat/>
    <w:rsid w:val="002171D9"/>
    <w:pPr>
      <w:numPr>
        <w:ilvl w:val="5"/>
        <w:numId w:val="8"/>
      </w:numPr>
      <w:pBdr>
        <w:bottom w:val="dotted" w:sz="6" w:space="1" w:color="AD84C6" w:themeColor="accent1"/>
      </w:pBdr>
      <w:spacing w:before="300" w:after="0"/>
      <w:outlineLvl w:val="5"/>
    </w:pPr>
    <w:rPr>
      <w:caps/>
      <w:color w:val="864EA8" w:themeColor="accent1" w:themeShade="BF"/>
      <w:spacing w:val="10"/>
      <w:sz w:val="22"/>
      <w:szCs w:val="22"/>
    </w:rPr>
  </w:style>
  <w:style w:type="paragraph" w:styleId="Naslov7">
    <w:name w:val="heading 7"/>
    <w:basedOn w:val="Navaden"/>
    <w:next w:val="Navaden"/>
    <w:link w:val="Naslov7Znak"/>
    <w:uiPriority w:val="9"/>
    <w:semiHidden/>
    <w:unhideWhenUsed/>
    <w:qFormat/>
    <w:rsid w:val="002171D9"/>
    <w:pPr>
      <w:numPr>
        <w:ilvl w:val="6"/>
        <w:numId w:val="8"/>
      </w:numPr>
      <w:spacing w:before="300" w:after="0"/>
      <w:outlineLvl w:val="6"/>
    </w:pPr>
    <w:rPr>
      <w:caps/>
      <w:color w:val="864EA8" w:themeColor="accent1" w:themeShade="BF"/>
      <w:spacing w:val="10"/>
      <w:sz w:val="22"/>
      <w:szCs w:val="22"/>
    </w:rPr>
  </w:style>
  <w:style w:type="paragraph" w:styleId="Naslov8">
    <w:name w:val="heading 8"/>
    <w:basedOn w:val="Navaden"/>
    <w:next w:val="Navaden"/>
    <w:link w:val="Naslov8Znak"/>
    <w:uiPriority w:val="9"/>
    <w:semiHidden/>
    <w:unhideWhenUsed/>
    <w:qFormat/>
    <w:rsid w:val="002171D9"/>
    <w:pPr>
      <w:numPr>
        <w:ilvl w:val="7"/>
        <w:numId w:val="8"/>
      </w:numPr>
      <w:spacing w:before="300" w:after="0"/>
      <w:outlineLvl w:val="7"/>
    </w:pPr>
    <w:rPr>
      <w:caps/>
      <w:spacing w:val="10"/>
      <w:sz w:val="18"/>
      <w:szCs w:val="18"/>
    </w:rPr>
  </w:style>
  <w:style w:type="paragraph" w:styleId="Naslov9">
    <w:name w:val="heading 9"/>
    <w:basedOn w:val="Navaden"/>
    <w:next w:val="Navaden"/>
    <w:link w:val="Naslov9Znak"/>
    <w:uiPriority w:val="9"/>
    <w:semiHidden/>
    <w:unhideWhenUsed/>
    <w:qFormat/>
    <w:rsid w:val="002171D9"/>
    <w:pPr>
      <w:numPr>
        <w:ilvl w:val="8"/>
        <w:numId w:val="8"/>
      </w:numPr>
      <w:spacing w:before="300" w:after="0"/>
      <w:outlineLvl w:val="8"/>
    </w:pPr>
    <w:rPr>
      <w:i/>
      <w:caps/>
      <w:spacing w:val="10"/>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3D47D4"/>
    <w:rPr>
      <w:b/>
      <w:bCs/>
      <w:caps/>
      <w:color w:val="FFFFFF" w:themeColor="background1"/>
      <w:spacing w:val="15"/>
      <w:shd w:val="clear" w:color="auto" w:fill="AD84C6" w:themeFill="accent1"/>
    </w:rPr>
  </w:style>
  <w:style w:type="character" w:customStyle="1" w:styleId="Naslov2Znak">
    <w:name w:val="Naslov 2 Znak"/>
    <w:basedOn w:val="Privzetapisavaodstavka"/>
    <w:link w:val="Naslov2"/>
    <w:uiPriority w:val="9"/>
    <w:rsid w:val="003D47D4"/>
    <w:rPr>
      <w:caps/>
      <w:spacing w:val="15"/>
      <w:shd w:val="clear" w:color="auto" w:fill="EEE6F3" w:themeFill="accent1" w:themeFillTint="33"/>
    </w:rPr>
  </w:style>
  <w:style w:type="character" w:customStyle="1" w:styleId="Naslov3Znak">
    <w:name w:val="Naslov 3 Znak"/>
    <w:basedOn w:val="Privzetapisavaodstavka"/>
    <w:link w:val="Naslov3"/>
    <w:uiPriority w:val="9"/>
    <w:rsid w:val="008E1EA4"/>
    <w:rPr>
      <w:caps/>
      <w:color w:val="593470" w:themeColor="accent1" w:themeShade="7F"/>
      <w:spacing w:val="15"/>
    </w:rPr>
  </w:style>
  <w:style w:type="character" w:customStyle="1" w:styleId="Naslov4Znak">
    <w:name w:val="Naslov 4 Znak"/>
    <w:basedOn w:val="Privzetapisavaodstavka"/>
    <w:link w:val="Naslov4"/>
    <w:uiPriority w:val="9"/>
    <w:rsid w:val="008E1EA4"/>
    <w:rPr>
      <w:caps/>
      <w:color w:val="864EA8" w:themeColor="accent1" w:themeShade="BF"/>
      <w:spacing w:val="10"/>
    </w:rPr>
  </w:style>
  <w:style w:type="character" w:customStyle="1" w:styleId="Naslov5Znak">
    <w:name w:val="Naslov 5 Znak"/>
    <w:basedOn w:val="Privzetapisavaodstavka"/>
    <w:link w:val="Naslov5"/>
    <w:uiPriority w:val="9"/>
    <w:semiHidden/>
    <w:rsid w:val="002171D9"/>
    <w:rPr>
      <w:caps/>
      <w:color w:val="864EA8" w:themeColor="accent1" w:themeShade="BF"/>
      <w:spacing w:val="10"/>
    </w:rPr>
  </w:style>
  <w:style w:type="character" w:customStyle="1" w:styleId="Naslov6Znak">
    <w:name w:val="Naslov 6 Znak"/>
    <w:basedOn w:val="Privzetapisavaodstavka"/>
    <w:link w:val="Naslov6"/>
    <w:uiPriority w:val="9"/>
    <w:semiHidden/>
    <w:rsid w:val="002171D9"/>
    <w:rPr>
      <w:caps/>
      <w:color w:val="864EA8" w:themeColor="accent1" w:themeShade="BF"/>
      <w:spacing w:val="10"/>
    </w:rPr>
  </w:style>
  <w:style w:type="character" w:customStyle="1" w:styleId="Naslov7Znak">
    <w:name w:val="Naslov 7 Znak"/>
    <w:basedOn w:val="Privzetapisavaodstavka"/>
    <w:link w:val="Naslov7"/>
    <w:uiPriority w:val="9"/>
    <w:semiHidden/>
    <w:rsid w:val="002171D9"/>
    <w:rPr>
      <w:caps/>
      <w:color w:val="864EA8" w:themeColor="accent1" w:themeShade="BF"/>
      <w:spacing w:val="10"/>
    </w:rPr>
  </w:style>
  <w:style w:type="character" w:customStyle="1" w:styleId="Naslov8Znak">
    <w:name w:val="Naslov 8 Znak"/>
    <w:basedOn w:val="Privzetapisavaodstavka"/>
    <w:link w:val="Naslov8"/>
    <w:uiPriority w:val="9"/>
    <w:semiHidden/>
    <w:rsid w:val="002171D9"/>
    <w:rPr>
      <w:caps/>
      <w:spacing w:val="10"/>
      <w:sz w:val="18"/>
      <w:szCs w:val="18"/>
    </w:rPr>
  </w:style>
  <w:style w:type="character" w:customStyle="1" w:styleId="Naslov9Znak">
    <w:name w:val="Naslov 9 Znak"/>
    <w:basedOn w:val="Privzetapisavaodstavka"/>
    <w:link w:val="Naslov9"/>
    <w:uiPriority w:val="9"/>
    <w:semiHidden/>
    <w:rsid w:val="002171D9"/>
    <w:rPr>
      <w:i/>
      <w:caps/>
      <w:spacing w:val="10"/>
      <w:sz w:val="18"/>
      <w:szCs w:val="18"/>
    </w:rPr>
  </w:style>
  <w:style w:type="paragraph" w:styleId="Naslov">
    <w:name w:val="Title"/>
    <w:basedOn w:val="Navaden"/>
    <w:next w:val="Navaden"/>
    <w:link w:val="NaslovZnak"/>
    <w:uiPriority w:val="10"/>
    <w:qFormat/>
    <w:rsid w:val="002171D9"/>
    <w:pPr>
      <w:spacing w:before="720"/>
    </w:pPr>
    <w:rPr>
      <w:caps/>
      <w:color w:val="AD84C6" w:themeColor="accent1"/>
      <w:spacing w:val="10"/>
      <w:kern w:val="28"/>
      <w:sz w:val="52"/>
      <w:szCs w:val="52"/>
    </w:rPr>
  </w:style>
  <w:style w:type="character" w:customStyle="1" w:styleId="NaslovZnak">
    <w:name w:val="Naslov Znak"/>
    <w:basedOn w:val="Privzetapisavaodstavka"/>
    <w:link w:val="Naslov"/>
    <w:uiPriority w:val="10"/>
    <w:rsid w:val="002171D9"/>
    <w:rPr>
      <w:caps/>
      <w:color w:val="AD84C6" w:themeColor="accent1"/>
      <w:spacing w:val="10"/>
      <w:kern w:val="28"/>
      <w:sz w:val="52"/>
      <w:szCs w:val="52"/>
    </w:rPr>
  </w:style>
  <w:style w:type="paragraph" w:styleId="Podnaslov">
    <w:name w:val="Subtitle"/>
    <w:basedOn w:val="Navaden"/>
    <w:next w:val="Navaden"/>
    <w:link w:val="PodnaslovZnak"/>
    <w:uiPriority w:val="11"/>
    <w:qFormat/>
    <w:rsid w:val="002171D9"/>
    <w:pPr>
      <w:spacing w:after="1000" w:line="240" w:lineRule="auto"/>
    </w:pPr>
    <w:rPr>
      <w:caps/>
      <w:color w:val="595959" w:themeColor="text1" w:themeTint="A6"/>
      <w:spacing w:val="10"/>
      <w:szCs w:val="24"/>
    </w:rPr>
  </w:style>
  <w:style w:type="character" w:customStyle="1" w:styleId="PodnaslovZnak">
    <w:name w:val="Podnaslov Znak"/>
    <w:basedOn w:val="Privzetapisavaodstavka"/>
    <w:link w:val="Podnaslov"/>
    <w:uiPriority w:val="11"/>
    <w:rsid w:val="002171D9"/>
    <w:rPr>
      <w:caps/>
      <w:color w:val="595959" w:themeColor="text1" w:themeTint="A6"/>
      <w:spacing w:val="10"/>
      <w:sz w:val="24"/>
      <w:szCs w:val="24"/>
    </w:rPr>
  </w:style>
  <w:style w:type="paragraph" w:styleId="Citat">
    <w:name w:val="Quote"/>
    <w:basedOn w:val="Navaden"/>
    <w:next w:val="Navaden"/>
    <w:link w:val="CitatZnak"/>
    <w:uiPriority w:val="29"/>
    <w:qFormat/>
    <w:rsid w:val="002171D9"/>
    <w:rPr>
      <w:i/>
      <w:iCs/>
    </w:rPr>
  </w:style>
  <w:style w:type="character" w:customStyle="1" w:styleId="CitatZnak">
    <w:name w:val="Citat Znak"/>
    <w:basedOn w:val="Privzetapisavaodstavka"/>
    <w:link w:val="Citat"/>
    <w:uiPriority w:val="29"/>
    <w:rsid w:val="002171D9"/>
    <w:rPr>
      <w:i/>
      <w:iCs/>
      <w:sz w:val="20"/>
      <w:szCs w:val="20"/>
    </w:rPr>
  </w:style>
  <w:style w:type="paragraph" w:styleId="Odstavekseznama">
    <w:name w:val="List Paragraph"/>
    <w:basedOn w:val="Navaden"/>
    <w:uiPriority w:val="34"/>
    <w:qFormat/>
    <w:rsid w:val="002171D9"/>
    <w:pPr>
      <w:ind w:left="720"/>
      <w:contextualSpacing/>
    </w:pPr>
  </w:style>
  <w:style w:type="character" w:styleId="Intenzivenpoudarek">
    <w:name w:val="Intense Emphasis"/>
    <w:uiPriority w:val="21"/>
    <w:qFormat/>
    <w:rsid w:val="002171D9"/>
    <w:rPr>
      <w:b/>
      <w:bCs/>
      <w:caps/>
      <w:color w:val="593470" w:themeColor="accent1" w:themeShade="7F"/>
      <w:spacing w:val="10"/>
    </w:rPr>
  </w:style>
  <w:style w:type="paragraph" w:styleId="Intenzivencitat">
    <w:name w:val="Intense Quote"/>
    <w:basedOn w:val="Navaden"/>
    <w:next w:val="Navaden"/>
    <w:link w:val="IntenzivencitatZnak"/>
    <w:uiPriority w:val="30"/>
    <w:qFormat/>
    <w:rsid w:val="002171D9"/>
    <w:pPr>
      <w:pBdr>
        <w:top w:val="single" w:sz="4" w:space="10" w:color="AD84C6" w:themeColor="accent1"/>
        <w:left w:val="single" w:sz="4" w:space="10" w:color="AD84C6" w:themeColor="accent1"/>
      </w:pBdr>
      <w:spacing w:after="0"/>
      <w:ind w:left="1296" w:right="1152"/>
    </w:pPr>
    <w:rPr>
      <w:i/>
      <w:iCs/>
      <w:color w:val="AD84C6" w:themeColor="accent1"/>
    </w:rPr>
  </w:style>
  <w:style w:type="character" w:customStyle="1" w:styleId="IntenzivencitatZnak">
    <w:name w:val="Intenziven citat Znak"/>
    <w:basedOn w:val="Privzetapisavaodstavka"/>
    <w:link w:val="Intenzivencitat"/>
    <w:uiPriority w:val="30"/>
    <w:rsid w:val="002171D9"/>
    <w:rPr>
      <w:i/>
      <w:iCs/>
      <w:color w:val="AD84C6" w:themeColor="accent1"/>
      <w:sz w:val="20"/>
      <w:szCs w:val="20"/>
    </w:rPr>
  </w:style>
  <w:style w:type="character" w:styleId="Intenzivensklic">
    <w:name w:val="Intense Reference"/>
    <w:uiPriority w:val="32"/>
    <w:qFormat/>
    <w:rsid w:val="002171D9"/>
    <w:rPr>
      <w:b/>
      <w:bCs/>
      <w:i/>
      <w:iCs/>
      <w:caps/>
      <w:color w:val="AD84C6" w:themeColor="accent1"/>
    </w:rPr>
  </w:style>
  <w:style w:type="character" w:styleId="Hiperpovezava">
    <w:name w:val="Hyperlink"/>
    <w:basedOn w:val="Privzetapisavaodstavka"/>
    <w:uiPriority w:val="99"/>
    <w:unhideWhenUsed/>
    <w:rsid w:val="0006747A"/>
    <w:rPr>
      <w:color w:val="69A020" w:themeColor="hyperlink"/>
      <w:u w:val="single"/>
    </w:rPr>
  </w:style>
  <w:style w:type="character" w:customStyle="1" w:styleId="UnresolvedMention1">
    <w:name w:val="Unresolved Mention1"/>
    <w:basedOn w:val="Privzetapisavaodstavka"/>
    <w:uiPriority w:val="99"/>
    <w:semiHidden/>
    <w:unhideWhenUsed/>
    <w:rsid w:val="0006747A"/>
    <w:rPr>
      <w:color w:val="605E5C"/>
      <w:shd w:val="clear" w:color="auto" w:fill="E1DFDD"/>
    </w:rPr>
  </w:style>
  <w:style w:type="paragraph" w:styleId="Glava">
    <w:name w:val="header"/>
    <w:basedOn w:val="Navaden"/>
    <w:link w:val="GlavaZnak"/>
    <w:uiPriority w:val="99"/>
    <w:unhideWhenUsed/>
    <w:rsid w:val="0072045B"/>
    <w:pPr>
      <w:tabs>
        <w:tab w:val="center" w:pos="4513"/>
        <w:tab w:val="right" w:pos="9026"/>
      </w:tabs>
      <w:spacing w:after="0" w:line="240" w:lineRule="auto"/>
    </w:pPr>
  </w:style>
  <w:style w:type="character" w:customStyle="1" w:styleId="GlavaZnak">
    <w:name w:val="Glava Znak"/>
    <w:basedOn w:val="Privzetapisavaodstavka"/>
    <w:link w:val="Glava"/>
    <w:uiPriority w:val="99"/>
    <w:rsid w:val="0072045B"/>
    <w:rPr>
      <w:kern w:val="0"/>
      <w:sz w:val="22"/>
      <w:szCs w:val="22"/>
      <w:lang w:val="sl-SI"/>
      <w14:ligatures w14:val="none"/>
    </w:rPr>
  </w:style>
  <w:style w:type="paragraph" w:styleId="Noga">
    <w:name w:val="footer"/>
    <w:basedOn w:val="Navaden"/>
    <w:link w:val="NogaZnak"/>
    <w:uiPriority w:val="99"/>
    <w:unhideWhenUsed/>
    <w:rsid w:val="0072045B"/>
    <w:pPr>
      <w:tabs>
        <w:tab w:val="center" w:pos="4513"/>
        <w:tab w:val="right" w:pos="9026"/>
      </w:tabs>
      <w:spacing w:after="0" w:line="240" w:lineRule="auto"/>
    </w:pPr>
  </w:style>
  <w:style w:type="character" w:customStyle="1" w:styleId="NogaZnak">
    <w:name w:val="Noga Znak"/>
    <w:basedOn w:val="Privzetapisavaodstavka"/>
    <w:link w:val="Noga"/>
    <w:uiPriority w:val="99"/>
    <w:rsid w:val="0072045B"/>
    <w:rPr>
      <w:kern w:val="0"/>
      <w:sz w:val="22"/>
      <w:szCs w:val="22"/>
      <w:lang w:val="sl-SI"/>
      <w14:ligatures w14:val="none"/>
    </w:rPr>
  </w:style>
  <w:style w:type="character" w:styleId="tevilkastrani">
    <w:name w:val="page number"/>
    <w:basedOn w:val="Privzetapisavaodstavka"/>
    <w:uiPriority w:val="99"/>
    <w:semiHidden/>
    <w:unhideWhenUsed/>
    <w:rsid w:val="00837949"/>
  </w:style>
  <w:style w:type="paragraph" w:styleId="Napis">
    <w:name w:val="caption"/>
    <w:basedOn w:val="Navaden"/>
    <w:next w:val="Navaden"/>
    <w:uiPriority w:val="35"/>
    <w:semiHidden/>
    <w:unhideWhenUsed/>
    <w:qFormat/>
    <w:rsid w:val="002171D9"/>
    <w:rPr>
      <w:b/>
      <w:bCs/>
      <w:color w:val="864EA8" w:themeColor="accent1" w:themeShade="BF"/>
      <w:sz w:val="16"/>
      <w:szCs w:val="16"/>
    </w:rPr>
  </w:style>
  <w:style w:type="character" w:styleId="Krepko">
    <w:name w:val="Strong"/>
    <w:uiPriority w:val="22"/>
    <w:qFormat/>
    <w:rsid w:val="002171D9"/>
    <w:rPr>
      <w:b/>
      <w:bCs/>
    </w:rPr>
  </w:style>
  <w:style w:type="character" w:styleId="Poudarek">
    <w:name w:val="Emphasis"/>
    <w:qFormat/>
    <w:rsid w:val="002171D9"/>
    <w:rPr>
      <w:caps/>
      <w:color w:val="593470" w:themeColor="accent1" w:themeShade="7F"/>
      <w:spacing w:val="5"/>
    </w:rPr>
  </w:style>
  <w:style w:type="paragraph" w:styleId="Brezrazmikov">
    <w:name w:val="No Spacing"/>
    <w:basedOn w:val="Navaden"/>
    <w:link w:val="BrezrazmikovZnak"/>
    <w:uiPriority w:val="1"/>
    <w:qFormat/>
    <w:rsid w:val="002171D9"/>
    <w:pPr>
      <w:spacing w:before="0" w:after="0" w:line="240" w:lineRule="auto"/>
    </w:pPr>
  </w:style>
  <w:style w:type="character" w:styleId="Neenpoudarek">
    <w:name w:val="Subtle Emphasis"/>
    <w:uiPriority w:val="19"/>
    <w:qFormat/>
    <w:rsid w:val="002171D9"/>
    <w:rPr>
      <w:i/>
      <w:iCs/>
      <w:color w:val="593470" w:themeColor="accent1" w:themeShade="7F"/>
    </w:rPr>
  </w:style>
  <w:style w:type="character" w:styleId="Neensklic">
    <w:name w:val="Subtle Reference"/>
    <w:uiPriority w:val="31"/>
    <w:qFormat/>
    <w:rsid w:val="002171D9"/>
    <w:rPr>
      <w:b/>
      <w:bCs/>
      <w:color w:val="AD84C6" w:themeColor="accent1"/>
    </w:rPr>
  </w:style>
  <w:style w:type="character" w:styleId="Naslovknjige">
    <w:name w:val="Book Title"/>
    <w:uiPriority w:val="33"/>
    <w:qFormat/>
    <w:rsid w:val="002171D9"/>
    <w:rPr>
      <w:b/>
      <w:bCs/>
      <w:i/>
      <w:iCs/>
      <w:spacing w:val="9"/>
    </w:rPr>
  </w:style>
  <w:style w:type="paragraph" w:styleId="NaslovTOC">
    <w:name w:val="TOC Heading"/>
    <w:basedOn w:val="Naslov1"/>
    <w:next w:val="Navaden"/>
    <w:uiPriority w:val="39"/>
    <w:unhideWhenUsed/>
    <w:qFormat/>
    <w:rsid w:val="002171D9"/>
    <w:pPr>
      <w:outlineLvl w:val="9"/>
    </w:pPr>
  </w:style>
  <w:style w:type="character" w:customStyle="1" w:styleId="BrezrazmikovZnak">
    <w:name w:val="Brez razmikov Znak"/>
    <w:basedOn w:val="Privzetapisavaodstavka"/>
    <w:link w:val="Brezrazmikov"/>
    <w:uiPriority w:val="1"/>
    <w:rsid w:val="002171D9"/>
    <w:rPr>
      <w:sz w:val="20"/>
      <w:szCs w:val="20"/>
    </w:rPr>
  </w:style>
  <w:style w:type="paragraph" w:styleId="Kazalovsebine1">
    <w:name w:val="toc 1"/>
    <w:basedOn w:val="Navaden"/>
    <w:next w:val="Navaden"/>
    <w:autoRedefine/>
    <w:uiPriority w:val="39"/>
    <w:unhideWhenUsed/>
    <w:rsid w:val="00BE186E"/>
    <w:pPr>
      <w:spacing w:before="120" w:after="0"/>
    </w:pPr>
    <w:rPr>
      <w:b/>
      <w:bCs/>
      <w:i/>
      <w:iCs/>
      <w:szCs w:val="24"/>
    </w:rPr>
  </w:style>
  <w:style w:type="paragraph" w:styleId="Kazalovsebine2">
    <w:name w:val="toc 2"/>
    <w:basedOn w:val="Navaden"/>
    <w:next w:val="Navaden"/>
    <w:autoRedefine/>
    <w:uiPriority w:val="39"/>
    <w:unhideWhenUsed/>
    <w:rsid w:val="00BE186E"/>
    <w:pPr>
      <w:spacing w:before="120" w:after="0"/>
      <w:ind w:left="200"/>
    </w:pPr>
    <w:rPr>
      <w:b/>
      <w:bCs/>
      <w:sz w:val="22"/>
      <w:szCs w:val="22"/>
    </w:rPr>
  </w:style>
  <w:style w:type="paragraph" w:styleId="Kazalovsebine3">
    <w:name w:val="toc 3"/>
    <w:basedOn w:val="Navaden"/>
    <w:next w:val="Navaden"/>
    <w:autoRedefine/>
    <w:uiPriority w:val="39"/>
    <w:unhideWhenUsed/>
    <w:rsid w:val="00BE186E"/>
    <w:pPr>
      <w:spacing w:before="0" w:after="0"/>
      <w:ind w:left="400"/>
    </w:pPr>
  </w:style>
  <w:style w:type="paragraph" w:styleId="Kazalovsebine4">
    <w:name w:val="toc 4"/>
    <w:basedOn w:val="Navaden"/>
    <w:next w:val="Navaden"/>
    <w:autoRedefine/>
    <w:uiPriority w:val="39"/>
    <w:unhideWhenUsed/>
    <w:rsid w:val="00BE186E"/>
    <w:pPr>
      <w:spacing w:before="0" w:after="0"/>
      <w:ind w:left="600"/>
    </w:pPr>
  </w:style>
  <w:style w:type="paragraph" w:styleId="Kazalovsebine5">
    <w:name w:val="toc 5"/>
    <w:basedOn w:val="Navaden"/>
    <w:next w:val="Navaden"/>
    <w:autoRedefine/>
    <w:uiPriority w:val="39"/>
    <w:semiHidden/>
    <w:unhideWhenUsed/>
    <w:rsid w:val="00BE186E"/>
    <w:pPr>
      <w:spacing w:before="0" w:after="0"/>
      <w:ind w:left="800"/>
    </w:pPr>
  </w:style>
  <w:style w:type="paragraph" w:styleId="Kazalovsebine6">
    <w:name w:val="toc 6"/>
    <w:basedOn w:val="Navaden"/>
    <w:next w:val="Navaden"/>
    <w:autoRedefine/>
    <w:uiPriority w:val="39"/>
    <w:semiHidden/>
    <w:unhideWhenUsed/>
    <w:rsid w:val="00BE186E"/>
    <w:pPr>
      <w:spacing w:before="0" w:after="0"/>
      <w:ind w:left="1000"/>
    </w:pPr>
  </w:style>
  <w:style w:type="paragraph" w:styleId="Kazalovsebine7">
    <w:name w:val="toc 7"/>
    <w:basedOn w:val="Navaden"/>
    <w:next w:val="Navaden"/>
    <w:autoRedefine/>
    <w:uiPriority w:val="39"/>
    <w:semiHidden/>
    <w:unhideWhenUsed/>
    <w:rsid w:val="00BE186E"/>
    <w:pPr>
      <w:spacing w:before="0" w:after="0"/>
      <w:ind w:left="1200"/>
    </w:pPr>
  </w:style>
  <w:style w:type="paragraph" w:styleId="Kazalovsebine8">
    <w:name w:val="toc 8"/>
    <w:basedOn w:val="Navaden"/>
    <w:next w:val="Navaden"/>
    <w:autoRedefine/>
    <w:uiPriority w:val="39"/>
    <w:semiHidden/>
    <w:unhideWhenUsed/>
    <w:rsid w:val="00BE186E"/>
    <w:pPr>
      <w:spacing w:before="0" w:after="0"/>
      <w:ind w:left="1400"/>
    </w:pPr>
  </w:style>
  <w:style w:type="paragraph" w:styleId="Kazalovsebine9">
    <w:name w:val="toc 9"/>
    <w:basedOn w:val="Navaden"/>
    <w:next w:val="Navaden"/>
    <w:autoRedefine/>
    <w:uiPriority w:val="39"/>
    <w:semiHidden/>
    <w:unhideWhenUsed/>
    <w:rsid w:val="00BE186E"/>
    <w:pPr>
      <w:spacing w:before="0" w:after="0"/>
      <w:ind w:left="1600"/>
    </w:pPr>
  </w:style>
  <w:style w:type="character" w:styleId="SledenaHiperpovezava">
    <w:name w:val="FollowedHyperlink"/>
    <w:basedOn w:val="Privzetapisavaodstavka"/>
    <w:uiPriority w:val="99"/>
    <w:semiHidden/>
    <w:unhideWhenUsed/>
    <w:rsid w:val="00987E8E"/>
    <w:rPr>
      <w:color w:val="8C8C8C" w:themeColor="followedHyperlink"/>
      <w:u w:val="single"/>
    </w:rPr>
  </w:style>
  <w:style w:type="paragraph" w:styleId="Sprotnaopomba-besedilo">
    <w:name w:val="footnote text"/>
    <w:basedOn w:val="Navaden"/>
    <w:link w:val="Sprotnaopomba-besediloZnak"/>
    <w:unhideWhenUsed/>
    <w:rsid w:val="000023D4"/>
    <w:pPr>
      <w:spacing w:before="0" w:after="0" w:line="240" w:lineRule="auto"/>
    </w:pPr>
  </w:style>
  <w:style w:type="character" w:customStyle="1" w:styleId="Sprotnaopomba-besediloZnak">
    <w:name w:val="Sprotna opomba - besedilo Znak"/>
    <w:basedOn w:val="Privzetapisavaodstavka"/>
    <w:link w:val="Sprotnaopomba-besedilo"/>
    <w:semiHidden/>
    <w:rsid w:val="000023D4"/>
    <w:rPr>
      <w:sz w:val="20"/>
      <w:szCs w:val="20"/>
    </w:rPr>
  </w:style>
  <w:style w:type="character" w:styleId="Sprotnaopomba-sklic">
    <w:name w:val="footnote reference"/>
    <w:basedOn w:val="Privzetapisavaodstavka"/>
    <w:unhideWhenUsed/>
    <w:rsid w:val="000023D4"/>
    <w:rPr>
      <w:vertAlign w:val="superscript"/>
    </w:rPr>
  </w:style>
  <w:style w:type="character" w:customStyle="1" w:styleId="FootnoteTextChar1">
    <w:name w:val="Footnote Text Char1"/>
    <w:basedOn w:val="Privzetapisavaodstavka"/>
    <w:uiPriority w:val="99"/>
    <w:semiHidden/>
    <w:rsid w:val="00E90D04"/>
    <w:rPr>
      <w:sz w:val="20"/>
      <w:szCs w:val="20"/>
      <w:lang w:val="sl-SI"/>
    </w:rPr>
  </w:style>
  <w:style w:type="paragraph" w:customStyle="1" w:styleId="Standard">
    <w:name w:val="Standard"/>
    <w:link w:val="StandardZnak"/>
    <w:rsid w:val="00E90D04"/>
    <w:pPr>
      <w:suppressAutoHyphens/>
      <w:autoSpaceDN w:val="0"/>
      <w:spacing w:before="0" w:after="0" w:line="240" w:lineRule="auto"/>
      <w:textAlignment w:val="baseline"/>
    </w:pPr>
    <w:rPr>
      <w:rFonts w:ascii="Times New Roman" w:eastAsia="SimSun" w:hAnsi="Times New Roman" w:cs="Mangal"/>
      <w:kern w:val="3"/>
      <w:sz w:val="24"/>
      <w:szCs w:val="24"/>
      <w:lang w:eastAsia="zh-CN" w:bidi="hi-IN"/>
    </w:rPr>
  </w:style>
  <w:style w:type="paragraph" w:customStyle="1" w:styleId="body">
    <w:name w:val="body"/>
    <w:basedOn w:val="Standard"/>
    <w:link w:val="bodyZnak"/>
    <w:qFormat/>
    <w:rsid w:val="00E90D04"/>
    <w:pPr>
      <w:spacing w:after="240" w:line="360" w:lineRule="auto"/>
      <w:jc w:val="both"/>
    </w:pPr>
    <w:rPr>
      <w:rFonts w:cs="Times New Roman"/>
    </w:rPr>
  </w:style>
  <w:style w:type="character" w:customStyle="1" w:styleId="StandardZnak">
    <w:name w:val="Standard Znak"/>
    <w:basedOn w:val="Privzetapisavaodstavka"/>
    <w:link w:val="Standard"/>
    <w:rsid w:val="00E90D04"/>
    <w:rPr>
      <w:rFonts w:ascii="Times New Roman" w:eastAsia="SimSun" w:hAnsi="Times New Roman" w:cs="Mangal"/>
      <w:kern w:val="3"/>
      <w:sz w:val="24"/>
      <w:szCs w:val="24"/>
      <w:lang w:val="sl-SI" w:eastAsia="zh-CN" w:bidi="hi-IN"/>
    </w:rPr>
  </w:style>
  <w:style w:type="character" w:customStyle="1" w:styleId="bodyZnak">
    <w:name w:val="body Znak"/>
    <w:basedOn w:val="StandardZnak"/>
    <w:link w:val="body"/>
    <w:rsid w:val="00E90D04"/>
    <w:rPr>
      <w:rFonts w:ascii="Times New Roman" w:eastAsia="SimSun" w:hAnsi="Times New Roman" w:cs="Times New Roman"/>
      <w:kern w:val="3"/>
      <w:sz w:val="24"/>
      <w:szCs w:val="24"/>
      <w:lang w:val="sl-SI" w:eastAsia="zh-CN" w:bidi="hi-IN"/>
    </w:rPr>
  </w:style>
  <w:style w:type="table" w:styleId="Tabelasvetlamrea">
    <w:name w:val="Grid Table Light"/>
    <w:basedOn w:val="Navadnatabela"/>
    <w:uiPriority w:val="40"/>
    <w:rsid w:val="00E90D04"/>
    <w:pPr>
      <w:spacing w:before="0" w:after="0" w:line="240" w:lineRule="auto"/>
    </w:pPr>
    <w:rPr>
      <w:rFonts w:eastAsiaTheme="minorHAnsi"/>
      <w:lang w:val="de-D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avadensplet1">
    <w:name w:val="Navaden (splet)1"/>
    <w:basedOn w:val="Standard"/>
    <w:rsid w:val="00F166C6"/>
    <w:pPr>
      <w:spacing w:before="100" w:after="100"/>
    </w:pPr>
    <w:rPr>
      <w:rFonts w:eastAsia="Times New Roman" w:cs="Times New Roman"/>
      <w:lang w:eastAsia="sl-SI" w:bidi="ar-SA"/>
    </w:rPr>
  </w:style>
  <w:style w:type="character" w:customStyle="1" w:styleId="Privzetapisavaodstavka1">
    <w:name w:val="Privzeta pisava odstavka1"/>
    <w:rsid w:val="00025FB8"/>
  </w:style>
  <w:style w:type="character" w:customStyle="1" w:styleId="Nerazreenaomemba1">
    <w:name w:val="Nerazrešena omemba1"/>
    <w:basedOn w:val="Privzetapisavaodstavka"/>
    <w:uiPriority w:val="99"/>
    <w:semiHidden/>
    <w:unhideWhenUsed/>
    <w:rsid w:val="006F51E9"/>
    <w:rPr>
      <w:color w:val="605E5C"/>
      <w:shd w:val="clear" w:color="auto" w:fill="E1DFDD"/>
    </w:rPr>
  </w:style>
  <w:style w:type="paragraph" w:customStyle="1" w:styleId="Textbody">
    <w:name w:val="Text body"/>
    <w:basedOn w:val="Standard"/>
    <w:rsid w:val="006F51E9"/>
    <w:pPr>
      <w:widowControl w:val="0"/>
      <w:spacing w:after="120"/>
    </w:pPr>
    <w:rPr>
      <w:rFonts w:cs="Arial"/>
    </w:rPr>
  </w:style>
  <w:style w:type="character" w:customStyle="1" w:styleId="StrongEmphasis">
    <w:name w:val="Strong Emphasis"/>
    <w:rsid w:val="001F7A85"/>
    <w:rPr>
      <w:b/>
      <w:bCs/>
    </w:rPr>
  </w:style>
  <w:style w:type="character" w:customStyle="1" w:styleId="apple-converted-space">
    <w:name w:val="apple-converted-space"/>
    <w:basedOn w:val="Privzetapisavaodstavka"/>
    <w:rsid w:val="00C073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383045">
      <w:bodyDiv w:val="1"/>
      <w:marLeft w:val="0"/>
      <w:marRight w:val="0"/>
      <w:marTop w:val="0"/>
      <w:marBottom w:val="0"/>
      <w:divBdr>
        <w:top w:val="none" w:sz="0" w:space="0" w:color="auto"/>
        <w:left w:val="none" w:sz="0" w:space="0" w:color="auto"/>
        <w:bottom w:val="none" w:sz="0" w:space="0" w:color="auto"/>
        <w:right w:val="none" w:sz="0" w:space="0" w:color="auto"/>
      </w:divBdr>
    </w:div>
    <w:div w:id="100339039">
      <w:bodyDiv w:val="1"/>
      <w:marLeft w:val="0"/>
      <w:marRight w:val="0"/>
      <w:marTop w:val="0"/>
      <w:marBottom w:val="0"/>
      <w:divBdr>
        <w:top w:val="none" w:sz="0" w:space="0" w:color="auto"/>
        <w:left w:val="none" w:sz="0" w:space="0" w:color="auto"/>
        <w:bottom w:val="none" w:sz="0" w:space="0" w:color="auto"/>
        <w:right w:val="none" w:sz="0" w:space="0" w:color="auto"/>
      </w:divBdr>
      <w:divsChild>
        <w:div w:id="838422048">
          <w:marLeft w:val="0"/>
          <w:marRight w:val="0"/>
          <w:marTop w:val="240"/>
          <w:marBottom w:val="0"/>
          <w:divBdr>
            <w:top w:val="none" w:sz="0" w:space="0" w:color="auto"/>
            <w:left w:val="none" w:sz="0" w:space="0" w:color="auto"/>
            <w:bottom w:val="none" w:sz="0" w:space="0" w:color="auto"/>
            <w:right w:val="none" w:sz="0" w:space="0" w:color="auto"/>
          </w:divBdr>
        </w:div>
        <w:div w:id="1278298277">
          <w:marLeft w:val="0"/>
          <w:marRight w:val="0"/>
          <w:marTop w:val="240"/>
          <w:marBottom w:val="0"/>
          <w:divBdr>
            <w:top w:val="none" w:sz="0" w:space="0" w:color="auto"/>
            <w:left w:val="none" w:sz="0" w:space="0" w:color="auto"/>
            <w:bottom w:val="none" w:sz="0" w:space="0" w:color="auto"/>
            <w:right w:val="none" w:sz="0" w:space="0" w:color="auto"/>
          </w:divBdr>
        </w:div>
      </w:divsChild>
    </w:div>
    <w:div w:id="131364905">
      <w:bodyDiv w:val="1"/>
      <w:marLeft w:val="0"/>
      <w:marRight w:val="0"/>
      <w:marTop w:val="0"/>
      <w:marBottom w:val="0"/>
      <w:divBdr>
        <w:top w:val="none" w:sz="0" w:space="0" w:color="auto"/>
        <w:left w:val="none" w:sz="0" w:space="0" w:color="auto"/>
        <w:bottom w:val="none" w:sz="0" w:space="0" w:color="auto"/>
        <w:right w:val="none" w:sz="0" w:space="0" w:color="auto"/>
      </w:divBdr>
    </w:div>
    <w:div w:id="134761661">
      <w:bodyDiv w:val="1"/>
      <w:marLeft w:val="0"/>
      <w:marRight w:val="0"/>
      <w:marTop w:val="0"/>
      <w:marBottom w:val="0"/>
      <w:divBdr>
        <w:top w:val="none" w:sz="0" w:space="0" w:color="auto"/>
        <w:left w:val="none" w:sz="0" w:space="0" w:color="auto"/>
        <w:bottom w:val="none" w:sz="0" w:space="0" w:color="auto"/>
        <w:right w:val="none" w:sz="0" w:space="0" w:color="auto"/>
      </w:divBdr>
    </w:div>
    <w:div w:id="182593635">
      <w:bodyDiv w:val="1"/>
      <w:marLeft w:val="0"/>
      <w:marRight w:val="0"/>
      <w:marTop w:val="0"/>
      <w:marBottom w:val="0"/>
      <w:divBdr>
        <w:top w:val="none" w:sz="0" w:space="0" w:color="auto"/>
        <w:left w:val="none" w:sz="0" w:space="0" w:color="auto"/>
        <w:bottom w:val="none" w:sz="0" w:space="0" w:color="auto"/>
        <w:right w:val="none" w:sz="0" w:space="0" w:color="auto"/>
      </w:divBdr>
    </w:div>
    <w:div w:id="201670567">
      <w:bodyDiv w:val="1"/>
      <w:marLeft w:val="0"/>
      <w:marRight w:val="0"/>
      <w:marTop w:val="0"/>
      <w:marBottom w:val="0"/>
      <w:divBdr>
        <w:top w:val="none" w:sz="0" w:space="0" w:color="auto"/>
        <w:left w:val="none" w:sz="0" w:space="0" w:color="auto"/>
        <w:bottom w:val="none" w:sz="0" w:space="0" w:color="auto"/>
        <w:right w:val="none" w:sz="0" w:space="0" w:color="auto"/>
      </w:divBdr>
    </w:div>
    <w:div w:id="229929583">
      <w:bodyDiv w:val="1"/>
      <w:marLeft w:val="0"/>
      <w:marRight w:val="0"/>
      <w:marTop w:val="0"/>
      <w:marBottom w:val="0"/>
      <w:divBdr>
        <w:top w:val="none" w:sz="0" w:space="0" w:color="auto"/>
        <w:left w:val="none" w:sz="0" w:space="0" w:color="auto"/>
        <w:bottom w:val="none" w:sz="0" w:space="0" w:color="auto"/>
        <w:right w:val="none" w:sz="0" w:space="0" w:color="auto"/>
      </w:divBdr>
    </w:div>
    <w:div w:id="357396947">
      <w:bodyDiv w:val="1"/>
      <w:marLeft w:val="0"/>
      <w:marRight w:val="0"/>
      <w:marTop w:val="0"/>
      <w:marBottom w:val="0"/>
      <w:divBdr>
        <w:top w:val="none" w:sz="0" w:space="0" w:color="auto"/>
        <w:left w:val="none" w:sz="0" w:space="0" w:color="auto"/>
        <w:bottom w:val="none" w:sz="0" w:space="0" w:color="auto"/>
        <w:right w:val="none" w:sz="0" w:space="0" w:color="auto"/>
      </w:divBdr>
    </w:div>
    <w:div w:id="408428517">
      <w:bodyDiv w:val="1"/>
      <w:marLeft w:val="0"/>
      <w:marRight w:val="0"/>
      <w:marTop w:val="0"/>
      <w:marBottom w:val="0"/>
      <w:divBdr>
        <w:top w:val="none" w:sz="0" w:space="0" w:color="auto"/>
        <w:left w:val="none" w:sz="0" w:space="0" w:color="auto"/>
        <w:bottom w:val="none" w:sz="0" w:space="0" w:color="auto"/>
        <w:right w:val="none" w:sz="0" w:space="0" w:color="auto"/>
      </w:divBdr>
    </w:div>
    <w:div w:id="499932905">
      <w:bodyDiv w:val="1"/>
      <w:marLeft w:val="0"/>
      <w:marRight w:val="0"/>
      <w:marTop w:val="0"/>
      <w:marBottom w:val="0"/>
      <w:divBdr>
        <w:top w:val="none" w:sz="0" w:space="0" w:color="auto"/>
        <w:left w:val="none" w:sz="0" w:space="0" w:color="auto"/>
        <w:bottom w:val="none" w:sz="0" w:space="0" w:color="auto"/>
        <w:right w:val="none" w:sz="0" w:space="0" w:color="auto"/>
      </w:divBdr>
    </w:div>
    <w:div w:id="501547174">
      <w:bodyDiv w:val="1"/>
      <w:marLeft w:val="0"/>
      <w:marRight w:val="0"/>
      <w:marTop w:val="0"/>
      <w:marBottom w:val="0"/>
      <w:divBdr>
        <w:top w:val="none" w:sz="0" w:space="0" w:color="auto"/>
        <w:left w:val="none" w:sz="0" w:space="0" w:color="auto"/>
        <w:bottom w:val="none" w:sz="0" w:space="0" w:color="auto"/>
        <w:right w:val="none" w:sz="0" w:space="0" w:color="auto"/>
      </w:divBdr>
      <w:divsChild>
        <w:div w:id="251165792">
          <w:marLeft w:val="720"/>
          <w:marRight w:val="0"/>
          <w:marTop w:val="100"/>
          <w:marBottom w:val="0"/>
          <w:divBdr>
            <w:top w:val="none" w:sz="0" w:space="0" w:color="auto"/>
            <w:left w:val="none" w:sz="0" w:space="0" w:color="auto"/>
            <w:bottom w:val="none" w:sz="0" w:space="0" w:color="auto"/>
            <w:right w:val="none" w:sz="0" w:space="0" w:color="auto"/>
          </w:divBdr>
        </w:div>
      </w:divsChild>
    </w:div>
    <w:div w:id="542981379">
      <w:bodyDiv w:val="1"/>
      <w:marLeft w:val="0"/>
      <w:marRight w:val="0"/>
      <w:marTop w:val="0"/>
      <w:marBottom w:val="0"/>
      <w:divBdr>
        <w:top w:val="none" w:sz="0" w:space="0" w:color="auto"/>
        <w:left w:val="none" w:sz="0" w:space="0" w:color="auto"/>
        <w:bottom w:val="none" w:sz="0" w:space="0" w:color="auto"/>
        <w:right w:val="none" w:sz="0" w:space="0" w:color="auto"/>
      </w:divBdr>
    </w:div>
    <w:div w:id="544872025">
      <w:bodyDiv w:val="1"/>
      <w:marLeft w:val="0"/>
      <w:marRight w:val="0"/>
      <w:marTop w:val="0"/>
      <w:marBottom w:val="0"/>
      <w:divBdr>
        <w:top w:val="none" w:sz="0" w:space="0" w:color="auto"/>
        <w:left w:val="none" w:sz="0" w:space="0" w:color="auto"/>
        <w:bottom w:val="none" w:sz="0" w:space="0" w:color="auto"/>
        <w:right w:val="none" w:sz="0" w:space="0" w:color="auto"/>
      </w:divBdr>
    </w:div>
    <w:div w:id="611326088">
      <w:bodyDiv w:val="1"/>
      <w:marLeft w:val="0"/>
      <w:marRight w:val="0"/>
      <w:marTop w:val="0"/>
      <w:marBottom w:val="0"/>
      <w:divBdr>
        <w:top w:val="none" w:sz="0" w:space="0" w:color="auto"/>
        <w:left w:val="none" w:sz="0" w:space="0" w:color="auto"/>
        <w:bottom w:val="none" w:sz="0" w:space="0" w:color="auto"/>
        <w:right w:val="none" w:sz="0" w:space="0" w:color="auto"/>
      </w:divBdr>
    </w:div>
    <w:div w:id="633756800">
      <w:bodyDiv w:val="1"/>
      <w:marLeft w:val="0"/>
      <w:marRight w:val="0"/>
      <w:marTop w:val="0"/>
      <w:marBottom w:val="0"/>
      <w:divBdr>
        <w:top w:val="none" w:sz="0" w:space="0" w:color="auto"/>
        <w:left w:val="none" w:sz="0" w:space="0" w:color="auto"/>
        <w:bottom w:val="none" w:sz="0" w:space="0" w:color="auto"/>
        <w:right w:val="none" w:sz="0" w:space="0" w:color="auto"/>
      </w:divBdr>
    </w:div>
    <w:div w:id="657657806">
      <w:bodyDiv w:val="1"/>
      <w:marLeft w:val="0"/>
      <w:marRight w:val="0"/>
      <w:marTop w:val="0"/>
      <w:marBottom w:val="0"/>
      <w:divBdr>
        <w:top w:val="none" w:sz="0" w:space="0" w:color="auto"/>
        <w:left w:val="none" w:sz="0" w:space="0" w:color="auto"/>
        <w:bottom w:val="none" w:sz="0" w:space="0" w:color="auto"/>
        <w:right w:val="none" w:sz="0" w:space="0" w:color="auto"/>
      </w:divBdr>
    </w:div>
    <w:div w:id="674116588">
      <w:bodyDiv w:val="1"/>
      <w:marLeft w:val="0"/>
      <w:marRight w:val="0"/>
      <w:marTop w:val="0"/>
      <w:marBottom w:val="0"/>
      <w:divBdr>
        <w:top w:val="none" w:sz="0" w:space="0" w:color="auto"/>
        <w:left w:val="none" w:sz="0" w:space="0" w:color="auto"/>
        <w:bottom w:val="none" w:sz="0" w:space="0" w:color="auto"/>
        <w:right w:val="none" w:sz="0" w:space="0" w:color="auto"/>
      </w:divBdr>
    </w:div>
    <w:div w:id="733504053">
      <w:bodyDiv w:val="1"/>
      <w:marLeft w:val="0"/>
      <w:marRight w:val="0"/>
      <w:marTop w:val="0"/>
      <w:marBottom w:val="0"/>
      <w:divBdr>
        <w:top w:val="none" w:sz="0" w:space="0" w:color="auto"/>
        <w:left w:val="none" w:sz="0" w:space="0" w:color="auto"/>
        <w:bottom w:val="none" w:sz="0" w:space="0" w:color="auto"/>
        <w:right w:val="none" w:sz="0" w:space="0" w:color="auto"/>
      </w:divBdr>
      <w:divsChild>
        <w:div w:id="73281018">
          <w:marLeft w:val="0"/>
          <w:marRight w:val="0"/>
          <w:marTop w:val="240"/>
          <w:marBottom w:val="0"/>
          <w:divBdr>
            <w:top w:val="none" w:sz="0" w:space="0" w:color="auto"/>
            <w:left w:val="none" w:sz="0" w:space="0" w:color="auto"/>
            <w:bottom w:val="none" w:sz="0" w:space="0" w:color="auto"/>
            <w:right w:val="none" w:sz="0" w:space="0" w:color="auto"/>
          </w:divBdr>
        </w:div>
        <w:div w:id="1421246207">
          <w:marLeft w:val="0"/>
          <w:marRight w:val="0"/>
          <w:marTop w:val="240"/>
          <w:marBottom w:val="0"/>
          <w:divBdr>
            <w:top w:val="none" w:sz="0" w:space="0" w:color="auto"/>
            <w:left w:val="none" w:sz="0" w:space="0" w:color="auto"/>
            <w:bottom w:val="none" w:sz="0" w:space="0" w:color="auto"/>
            <w:right w:val="none" w:sz="0" w:space="0" w:color="auto"/>
          </w:divBdr>
        </w:div>
      </w:divsChild>
    </w:div>
    <w:div w:id="796609522">
      <w:bodyDiv w:val="1"/>
      <w:marLeft w:val="0"/>
      <w:marRight w:val="0"/>
      <w:marTop w:val="0"/>
      <w:marBottom w:val="0"/>
      <w:divBdr>
        <w:top w:val="none" w:sz="0" w:space="0" w:color="auto"/>
        <w:left w:val="none" w:sz="0" w:space="0" w:color="auto"/>
        <w:bottom w:val="none" w:sz="0" w:space="0" w:color="auto"/>
        <w:right w:val="none" w:sz="0" w:space="0" w:color="auto"/>
      </w:divBdr>
      <w:divsChild>
        <w:div w:id="14579284">
          <w:marLeft w:val="0"/>
          <w:marRight w:val="0"/>
          <w:marTop w:val="240"/>
          <w:marBottom w:val="0"/>
          <w:divBdr>
            <w:top w:val="none" w:sz="0" w:space="0" w:color="auto"/>
            <w:left w:val="none" w:sz="0" w:space="0" w:color="auto"/>
            <w:bottom w:val="none" w:sz="0" w:space="0" w:color="auto"/>
            <w:right w:val="none" w:sz="0" w:space="0" w:color="auto"/>
          </w:divBdr>
        </w:div>
        <w:div w:id="621111034">
          <w:marLeft w:val="0"/>
          <w:marRight w:val="0"/>
          <w:marTop w:val="240"/>
          <w:marBottom w:val="0"/>
          <w:divBdr>
            <w:top w:val="none" w:sz="0" w:space="0" w:color="auto"/>
            <w:left w:val="none" w:sz="0" w:space="0" w:color="auto"/>
            <w:bottom w:val="none" w:sz="0" w:space="0" w:color="auto"/>
            <w:right w:val="none" w:sz="0" w:space="0" w:color="auto"/>
          </w:divBdr>
        </w:div>
        <w:div w:id="951017468">
          <w:marLeft w:val="0"/>
          <w:marRight w:val="0"/>
          <w:marTop w:val="240"/>
          <w:marBottom w:val="0"/>
          <w:divBdr>
            <w:top w:val="none" w:sz="0" w:space="0" w:color="auto"/>
            <w:left w:val="none" w:sz="0" w:space="0" w:color="auto"/>
            <w:bottom w:val="none" w:sz="0" w:space="0" w:color="auto"/>
            <w:right w:val="none" w:sz="0" w:space="0" w:color="auto"/>
          </w:divBdr>
        </w:div>
        <w:div w:id="2058814359">
          <w:marLeft w:val="0"/>
          <w:marRight w:val="0"/>
          <w:marTop w:val="240"/>
          <w:marBottom w:val="0"/>
          <w:divBdr>
            <w:top w:val="none" w:sz="0" w:space="0" w:color="auto"/>
            <w:left w:val="none" w:sz="0" w:space="0" w:color="auto"/>
            <w:bottom w:val="none" w:sz="0" w:space="0" w:color="auto"/>
            <w:right w:val="none" w:sz="0" w:space="0" w:color="auto"/>
          </w:divBdr>
        </w:div>
        <w:div w:id="873348338">
          <w:marLeft w:val="0"/>
          <w:marRight w:val="0"/>
          <w:marTop w:val="240"/>
          <w:marBottom w:val="0"/>
          <w:divBdr>
            <w:top w:val="none" w:sz="0" w:space="0" w:color="auto"/>
            <w:left w:val="none" w:sz="0" w:space="0" w:color="auto"/>
            <w:bottom w:val="none" w:sz="0" w:space="0" w:color="auto"/>
            <w:right w:val="none" w:sz="0" w:space="0" w:color="auto"/>
          </w:divBdr>
        </w:div>
      </w:divsChild>
    </w:div>
    <w:div w:id="812255152">
      <w:bodyDiv w:val="1"/>
      <w:marLeft w:val="0"/>
      <w:marRight w:val="0"/>
      <w:marTop w:val="0"/>
      <w:marBottom w:val="0"/>
      <w:divBdr>
        <w:top w:val="none" w:sz="0" w:space="0" w:color="auto"/>
        <w:left w:val="none" w:sz="0" w:space="0" w:color="auto"/>
        <w:bottom w:val="none" w:sz="0" w:space="0" w:color="auto"/>
        <w:right w:val="none" w:sz="0" w:space="0" w:color="auto"/>
      </w:divBdr>
      <w:divsChild>
        <w:div w:id="1364133836">
          <w:marLeft w:val="0"/>
          <w:marRight w:val="0"/>
          <w:marTop w:val="240"/>
          <w:marBottom w:val="0"/>
          <w:divBdr>
            <w:top w:val="none" w:sz="0" w:space="0" w:color="auto"/>
            <w:left w:val="none" w:sz="0" w:space="0" w:color="auto"/>
            <w:bottom w:val="none" w:sz="0" w:space="0" w:color="auto"/>
            <w:right w:val="none" w:sz="0" w:space="0" w:color="auto"/>
          </w:divBdr>
        </w:div>
        <w:div w:id="737824431">
          <w:marLeft w:val="0"/>
          <w:marRight w:val="0"/>
          <w:marTop w:val="240"/>
          <w:marBottom w:val="0"/>
          <w:divBdr>
            <w:top w:val="none" w:sz="0" w:space="0" w:color="auto"/>
            <w:left w:val="none" w:sz="0" w:space="0" w:color="auto"/>
            <w:bottom w:val="none" w:sz="0" w:space="0" w:color="auto"/>
            <w:right w:val="none" w:sz="0" w:space="0" w:color="auto"/>
          </w:divBdr>
        </w:div>
      </w:divsChild>
    </w:div>
    <w:div w:id="891113998">
      <w:bodyDiv w:val="1"/>
      <w:marLeft w:val="0"/>
      <w:marRight w:val="0"/>
      <w:marTop w:val="0"/>
      <w:marBottom w:val="0"/>
      <w:divBdr>
        <w:top w:val="none" w:sz="0" w:space="0" w:color="auto"/>
        <w:left w:val="none" w:sz="0" w:space="0" w:color="auto"/>
        <w:bottom w:val="none" w:sz="0" w:space="0" w:color="auto"/>
        <w:right w:val="none" w:sz="0" w:space="0" w:color="auto"/>
      </w:divBdr>
    </w:div>
    <w:div w:id="903564462">
      <w:bodyDiv w:val="1"/>
      <w:marLeft w:val="0"/>
      <w:marRight w:val="0"/>
      <w:marTop w:val="0"/>
      <w:marBottom w:val="0"/>
      <w:divBdr>
        <w:top w:val="none" w:sz="0" w:space="0" w:color="auto"/>
        <w:left w:val="none" w:sz="0" w:space="0" w:color="auto"/>
        <w:bottom w:val="none" w:sz="0" w:space="0" w:color="auto"/>
        <w:right w:val="none" w:sz="0" w:space="0" w:color="auto"/>
      </w:divBdr>
      <w:divsChild>
        <w:div w:id="884681997">
          <w:marLeft w:val="425"/>
          <w:marRight w:val="0"/>
          <w:marTop w:val="0"/>
          <w:marBottom w:val="0"/>
          <w:divBdr>
            <w:top w:val="none" w:sz="0" w:space="0" w:color="auto"/>
            <w:left w:val="none" w:sz="0" w:space="0" w:color="auto"/>
            <w:bottom w:val="none" w:sz="0" w:space="0" w:color="auto"/>
            <w:right w:val="none" w:sz="0" w:space="0" w:color="auto"/>
          </w:divBdr>
        </w:div>
        <w:div w:id="1682127434">
          <w:marLeft w:val="425"/>
          <w:marRight w:val="0"/>
          <w:marTop w:val="0"/>
          <w:marBottom w:val="0"/>
          <w:divBdr>
            <w:top w:val="none" w:sz="0" w:space="0" w:color="auto"/>
            <w:left w:val="none" w:sz="0" w:space="0" w:color="auto"/>
            <w:bottom w:val="none" w:sz="0" w:space="0" w:color="auto"/>
            <w:right w:val="none" w:sz="0" w:space="0" w:color="auto"/>
          </w:divBdr>
        </w:div>
      </w:divsChild>
    </w:div>
    <w:div w:id="920988075">
      <w:bodyDiv w:val="1"/>
      <w:marLeft w:val="0"/>
      <w:marRight w:val="0"/>
      <w:marTop w:val="0"/>
      <w:marBottom w:val="0"/>
      <w:divBdr>
        <w:top w:val="none" w:sz="0" w:space="0" w:color="auto"/>
        <w:left w:val="none" w:sz="0" w:space="0" w:color="auto"/>
        <w:bottom w:val="none" w:sz="0" w:space="0" w:color="auto"/>
        <w:right w:val="none" w:sz="0" w:space="0" w:color="auto"/>
      </w:divBdr>
      <w:divsChild>
        <w:div w:id="1706172897">
          <w:marLeft w:val="360"/>
          <w:marRight w:val="0"/>
          <w:marTop w:val="200"/>
          <w:marBottom w:val="0"/>
          <w:divBdr>
            <w:top w:val="none" w:sz="0" w:space="0" w:color="auto"/>
            <w:left w:val="none" w:sz="0" w:space="0" w:color="auto"/>
            <w:bottom w:val="none" w:sz="0" w:space="0" w:color="auto"/>
            <w:right w:val="none" w:sz="0" w:space="0" w:color="auto"/>
          </w:divBdr>
        </w:div>
      </w:divsChild>
    </w:div>
    <w:div w:id="932513656">
      <w:bodyDiv w:val="1"/>
      <w:marLeft w:val="0"/>
      <w:marRight w:val="0"/>
      <w:marTop w:val="0"/>
      <w:marBottom w:val="0"/>
      <w:divBdr>
        <w:top w:val="none" w:sz="0" w:space="0" w:color="auto"/>
        <w:left w:val="none" w:sz="0" w:space="0" w:color="auto"/>
        <w:bottom w:val="none" w:sz="0" w:space="0" w:color="auto"/>
        <w:right w:val="none" w:sz="0" w:space="0" w:color="auto"/>
      </w:divBdr>
    </w:div>
    <w:div w:id="935595213">
      <w:bodyDiv w:val="1"/>
      <w:marLeft w:val="0"/>
      <w:marRight w:val="0"/>
      <w:marTop w:val="0"/>
      <w:marBottom w:val="0"/>
      <w:divBdr>
        <w:top w:val="none" w:sz="0" w:space="0" w:color="auto"/>
        <w:left w:val="none" w:sz="0" w:space="0" w:color="auto"/>
        <w:bottom w:val="none" w:sz="0" w:space="0" w:color="auto"/>
        <w:right w:val="none" w:sz="0" w:space="0" w:color="auto"/>
      </w:divBdr>
    </w:div>
    <w:div w:id="984579698">
      <w:bodyDiv w:val="1"/>
      <w:marLeft w:val="0"/>
      <w:marRight w:val="0"/>
      <w:marTop w:val="0"/>
      <w:marBottom w:val="0"/>
      <w:divBdr>
        <w:top w:val="none" w:sz="0" w:space="0" w:color="auto"/>
        <w:left w:val="none" w:sz="0" w:space="0" w:color="auto"/>
        <w:bottom w:val="none" w:sz="0" w:space="0" w:color="auto"/>
        <w:right w:val="none" w:sz="0" w:space="0" w:color="auto"/>
      </w:divBdr>
    </w:div>
    <w:div w:id="1095901107">
      <w:bodyDiv w:val="1"/>
      <w:marLeft w:val="0"/>
      <w:marRight w:val="0"/>
      <w:marTop w:val="0"/>
      <w:marBottom w:val="0"/>
      <w:divBdr>
        <w:top w:val="none" w:sz="0" w:space="0" w:color="auto"/>
        <w:left w:val="none" w:sz="0" w:space="0" w:color="auto"/>
        <w:bottom w:val="none" w:sz="0" w:space="0" w:color="auto"/>
        <w:right w:val="none" w:sz="0" w:space="0" w:color="auto"/>
      </w:divBdr>
      <w:divsChild>
        <w:div w:id="1222255584">
          <w:marLeft w:val="907"/>
          <w:marRight w:val="0"/>
          <w:marTop w:val="100"/>
          <w:marBottom w:val="0"/>
          <w:divBdr>
            <w:top w:val="none" w:sz="0" w:space="0" w:color="auto"/>
            <w:left w:val="none" w:sz="0" w:space="0" w:color="auto"/>
            <w:bottom w:val="none" w:sz="0" w:space="0" w:color="auto"/>
            <w:right w:val="none" w:sz="0" w:space="0" w:color="auto"/>
          </w:divBdr>
        </w:div>
        <w:div w:id="573047536">
          <w:marLeft w:val="1080"/>
          <w:marRight w:val="0"/>
          <w:marTop w:val="100"/>
          <w:marBottom w:val="0"/>
          <w:divBdr>
            <w:top w:val="none" w:sz="0" w:space="0" w:color="auto"/>
            <w:left w:val="none" w:sz="0" w:space="0" w:color="auto"/>
            <w:bottom w:val="none" w:sz="0" w:space="0" w:color="auto"/>
            <w:right w:val="none" w:sz="0" w:space="0" w:color="auto"/>
          </w:divBdr>
        </w:div>
        <w:div w:id="2070296779">
          <w:marLeft w:val="1080"/>
          <w:marRight w:val="0"/>
          <w:marTop w:val="100"/>
          <w:marBottom w:val="0"/>
          <w:divBdr>
            <w:top w:val="none" w:sz="0" w:space="0" w:color="auto"/>
            <w:left w:val="none" w:sz="0" w:space="0" w:color="auto"/>
            <w:bottom w:val="none" w:sz="0" w:space="0" w:color="auto"/>
            <w:right w:val="none" w:sz="0" w:space="0" w:color="auto"/>
          </w:divBdr>
        </w:div>
        <w:div w:id="570702026">
          <w:marLeft w:val="907"/>
          <w:marRight w:val="0"/>
          <w:marTop w:val="100"/>
          <w:marBottom w:val="0"/>
          <w:divBdr>
            <w:top w:val="none" w:sz="0" w:space="0" w:color="auto"/>
            <w:left w:val="none" w:sz="0" w:space="0" w:color="auto"/>
            <w:bottom w:val="none" w:sz="0" w:space="0" w:color="auto"/>
            <w:right w:val="none" w:sz="0" w:space="0" w:color="auto"/>
          </w:divBdr>
        </w:div>
        <w:div w:id="682127767">
          <w:marLeft w:val="1080"/>
          <w:marRight w:val="0"/>
          <w:marTop w:val="100"/>
          <w:marBottom w:val="0"/>
          <w:divBdr>
            <w:top w:val="none" w:sz="0" w:space="0" w:color="auto"/>
            <w:left w:val="none" w:sz="0" w:space="0" w:color="auto"/>
            <w:bottom w:val="none" w:sz="0" w:space="0" w:color="auto"/>
            <w:right w:val="none" w:sz="0" w:space="0" w:color="auto"/>
          </w:divBdr>
        </w:div>
        <w:div w:id="864097315">
          <w:marLeft w:val="1080"/>
          <w:marRight w:val="0"/>
          <w:marTop w:val="100"/>
          <w:marBottom w:val="0"/>
          <w:divBdr>
            <w:top w:val="none" w:sz="0" w:space="0" w:color="auto"/>
            <w:left w:val="none" w:sz="0" w:space="0" w:color="auto"/>
            <w:bottom w:val="none" w:sz="0" w:space="0" w:color="auto"/>
            <w:right w:val="none" w:sz="0" w:space="0" w:color="auto"/>
          </w:divBdr>
        </w:div>
        <w:div w:id="1090471389">
          <w:marLeft w:val="907"/>
          <w:marRight w:val="0"/>
          <w:marTop w:val="100"/>
          <w:marBottom w:val="0"/>
          <w:divBdr>
            <w:top w:val="none" w:sz="0" w:space="0" w:color="auto"/>
            <w:left w:val="none" w:sz="0" w:space="0" w:color="auto"/>
            <w:bottom w:val="none" w:sz="0" w:space="0" w:color="auto"/>
            <w:right w:val="none" w:sz="0" w:space="0" w:color="auto"/>
          </w:divBdr>
        </w:div>
        <w:div w:id="1816140063">
          <w:marLeft w:val="1080"/>
          <w:marRight w:val="0"/>
          <w:marTop w:val="100"/>
          <w:marBottom w:val="0"/>
          <w:divBdr>
            <w:top w:val="none" w:sz="0" w:space="0" w:color="auto"/>
            <w:left w:val="none" w:sz="0" w:space="0" w:color="auto"/>
            <w:bottom w:val="none" w:sz="0" w:space="0" w:color="auto"/>
            <w:right w:val="none" w:sz="0" w:space="0" w:color="auto"/>
          </w:divBdr>
        </w:div>
        <w:div w:id="1509102831">
          <w:marLeft w:val="1080"/>
          <w:marRight w:val="0"/>
          <w:marTop w:val="100"/>
          <w:marBottom w:val="0"/>
          <w:divBdr>
            <w:top w:val="none" w:sz="0" w:space="0" w:color="auto"/>
            <w:left w:val="none" w:sz="0" w:space="0" w:color="auto"/>
            <w:bottom w:val="none" w:sz="0" w:space="0" w:color="auto"/>
            <w:right w:val="none" w:sz="0" w:space="0" w:color="auto"/>
          </w:divBdr>
        </w:div>
        <w:div w:id="1221937032">
          <w:marLeft w:val="907"/>
          <w:marRight w:val="0"/>
          <w:marTop w:val="100"/>
          <w:marBottom w:val="0"/>
          <w:divBdr>
            <w:top w:val="none" w:sz="0" w:space="0" w:color="auto"/>
            <w:left w:val="none" w:sz="0" w:space="0" w:color="auto"/>
            <w:bottom w:val="none" w:sz="0" w:space="0" w:color="auto"/>
            <w:right w:val="none" w:sz="0" w:space="0" w:color="auto"/>
          </w:divBdr>
        </w:div>
        <w:div w:id="497425131">
          <w:marLeft w:val="1080"/>
          <w:marRight w:val="0"/>
          <w:marTop w:val="100"/>
          <w:marBottom w:val="0"/>
          <w:divBdr>
            <w:top w:val="none" w:sz="0" w:space="0" w:color="auto"/>
            <w:left w:val="none" w:sz="0" w:space="0" w:color="auto"/>
            <w:bottom w:val="none" w:sz="0" w:space="0" w:color="auto"/>
            <w:right w:val="none" w:sz="0" w:space="0" w:color="auto"/>
          </w:divBdr>
        </w:div>
      </w:divsChild>
    </w:div>
    <w:div w:id="1112166967">
      <w:bodyDiv w:val="1"/>
      <w:marLeft w:val="0"/>
      <w:marRight w:val="0"/>
      <w:marTop w:val="0"/>
      <w:marBottom w:val="0"/>
      <w:divBdr>
        <w:top w:val="none" w:sz="0" w:space="0" w:color="auto"/>
        <w:left w:val="none" w:sz="0" w:space="0" w:color="auto"/>
        <w:bottom w:val="none" w:sz="0" w:space="0" w:color="auto"/>
        <w:right w:val="none" w:sz="0" w:space="0" w:color="auto"/>
      </w:divBdr>
    </w:div>
    <w:div w:id="1131366264">
      <w:bodyDiv w:val="1"/>
      <w:marLeft w:val="0"/>
      <w:marRight w:val="0"/>
      <w:marTop w:val="0"/>
      <w:marBottom w:val="0"/>
      <w:divBdr>
        <w:top w:val="none" w:sz="0" w:space="0" w:color="auto"/>
        <w:left w:val="none" w:sz="0" w:space="0" w:color="auto"/>
        <w:bottom w:val="none" w:sz="0" w:space="0" w:color="auto"/>
        <w:right w:val="none" w:sz="0" w:space="0" w:color="auto"/>
      </w:divBdr>
    </w:div>
    <w:div w:id="1273977267">
      <w:bodyDiv w:val="1"/>
      <w:marLeft w:val="0"/>
      <w:marRight w:val="0"/>
      <w:marTop w:val="0"/>
      <w:marBottom w:val="0"/>
      <w:divBdr>
        <w:top w:val="none" w:sz="0" w:space="0" w:color="auto"/>
        <w:left w:val="none" w:sz="0" w:space="0" w:color="auto"/>
        <w:bottom w:val="none" w:sz="0" w:space="0" w:color="auto"/>
        <w:right w:val="none" w:sz="0" w:space="0" w:color="auto"/>
      </w:divBdr>
    </w:div>
    <w:div w:id="1279412205">
      <w:bodyDiv w:val="1"/>
      <w:marLeft w:val="0"/>
      <w:marRight w:val="0"/>
      <w:marTop w:val="0"/>
      <w:marBottom w:val="0"/>
      <w:divBdr>
        <w:top w:val="none" w:sz="0" w:space="0" w:color="auto"/>
        <w:left w:val="none" w:sz="0" w:space="0" w:color="auto"/>
        <w:bottom w:val="none" w:sz="0" w:space="0" w:color="auto"/>
        <w:right w:val="none" w:sz="0" w:space="0" w:color="auto"/>
      </w:divBdr>
      <w:divsChild>
        <w:div w:id="328678178">
          <w:marLeft w:val="0"/>
          <w:marRight w:val="0"/>
          <w:marTop w:val="240"/>
          <w:marBottom w:val="0"/>
          <w:divBdr>
            <w:top w:val="none" w:sz="0" w:space="0" w:color="auto"/>
            <w:left w:val="none" w:sz="0" w:space="0" w:color="auto"/>
            <w:bottom w:val="none" w:sz="0" w:space="0" w:color="auto"/>
            <w:right w:val="none" w:sz="0" w:space="0" w:color="auto"/>
          </w:divBdr>
        </w:div>
        <w:div w:id="432869109">
          <w:marLeft w:val="425"/>
          <w:marRight w:val="0"/>
          <w:marTop w:val="0"/>
          <w:marBottom w:val="0"/>
          <w:divBdr>
            <w:top w:val="none" w:sz="0" w:space="0" w:color="auto"/>
            <w:left w:val="none" w:sz="0" w:space="0" w:color="auto"/>
            <w:bottom w:val="none" w:sz="0" w:space="0" w:color="auto"/>
            <w:right w:val="none" w:sz="0" w:space="0" w:color="auto"/>
          </w:divBdr>
        </w:div>
      </w:divsChild>
    </w:div>
    <w:div w:id="1311978517">
      <w:bodyDiv w:val="1"/>
      <w:marLeft w:val="0"/>
      <w:marRight w:val="0"/>
      <w:marTop w:val="0"/>
      <w:marBottom w:val="0"/>
      <w:divBdr>
        <w:top w:val="none" w:sz="0" w:space="0" w:color="auto"/>
        <w:left w:val="none" w:sz="0" w:space="0" w:color="auto"/>
        <w:bottom w:val="none" w:sz="0" w:space="0" w:color="auto"/>
        <w:right w:val="none" w:sz="0" w:space="0" w:color="auto"/>
      </w:divBdr>
    </w:div>
    <w:div w:id="1353993803">
      <w:bodyDiv w:val="1"/>
      <w:marLeft w:val="0"/>
      <w:marRight w:val="0"/>
      <w:marTop w:val="0"/>
      <w:marBottom w:val="0"/>
      <w:divBdr>
        <w:top w:val="none" w:sz="0" w:space="0" w:color="auto"/>
        <w:left w:val="none" w:sz="0" w:space="0" w:color="auto"/>
        <w:bottom w:val="none" w:sz="0" w:space="0" w:color="auto"/>
        <w:right w:val="none" w:sz="0" w:space="0" w:color="auto"/>
      </w:divBdr>
      <w:divsChild>
        <w:div w:id="145586739">
          <w:marLeft w:val="0"/>
          <w:marRight w:val="0"/>
          <w:marTop w:val="240"/>
          <w:marBottom w:val="0"/>
          <w:divBdr>
            <w:top w:val="none" w:sz="0" w:space="0" w:color="auto"/>
            <w:left w:val="none" w:sz="0" w:space="0" w:color="auto"/>
            <w:bottom w:val="none" w:sz="0" w:space="0" w:color="auto"/>
            <w:right w:val="none" w:sz="0" w:space="0" w:color="auto"/>
          </w:divBdr>
        </w:div>
        <w:div w:id="684206214">
          <w:marLeft w:val="0"/>
          <w:marRight w:val="0"/>
          <w:marTop w:val="240"/>
          <w:marBottom w:val="0"/>
          <w:divBdr>
            <w:top w:val="none" w:sz="0" w:space="0" w:color="auto"/>
            <w:left w:val="none" w:sz="0" w:space="0" w:color="auto"/>
            <w:bottom w:val="none" w:sz="0" w:space="0" w:color="auto"/>
            <w:right w:val="none" w:sz="0" w:space="0" w:color="auto"/>
          </w:divBdr>
        </w:div>
        <w:div w:id="1025206282">
          <w:marLeft w:val="0"/>
          <w:marRight w:val="0"/>
          <w:marTop w:val="240"/>
          <w:marBottom w:val="0"/>
          <w:divBdr>
            <w:top w:val="none" w:sz="0" w:space="0" w:color="auto"/>
            <w:left w:val="none" w:sz="0" w:space="0" w:color="auto"/>
            <w:bottom w:val="none" w:sz="0" w:space="0" w:color="auto"/>
            <w:right w:val="none" w:sz="0" w:space="0" w:color="auto"/>
          </w:divBdr>
        </w:div>
        <w:div w:id="1932615332">
          <w:marLeft w:val="0"/>
          <w:marRight w:val="0"/>
          <w:marTop w:val="240"/>
          <w:marBottom w:val="0"/>
          <w:divBdr>
            <w:top w:val="none" w:sz="0" w:space="0" w:color="auto"/>
            <w:left w:val="none" w:sz="0" w:space="0" w:color="auto"/>
            <w:bottom w:val="none" w:sz="0" w:space="0" w:color="auto"/>
            <w:right w:val="none" w:sz="0" w:space="0" w:color="auto"/>
          </w:divBdr>
        </w:div>
        <w:div w:id="1758593762">
          <w:marLeft w:val="425"/>
          <w:marRight w:val="0"/>
          <w:marTop w:val="0"/>
          <w:marBottom w:val="0"/>
          <w:divBdr>
            <w:top w:val="none" w:sz="0" w:space="0" w:color="auto"/>
            <w:left w:val="none" w:sz="0" w:space="0" w:color="auto"/>
            <w:bottom w:val="none" w:sz="0" w:space="0" w:color="auto"/>
            <w:right w:val="none" w:sz="0" w:space="0" w:color="auto"/>
          </w:divBdr>
        </w:div>
        <w:div w:id="481115503">
          <w:marLeft w:val="425"/>
          <w:marRight w:val="0"/>
          <w:marTop w:val="0"/>
          <w:marBottom w:val="0"/>
          <w:divBdr>
            <w:top w:val="none" w:sz="0" w:space="0" w:color="auto"/>
            <w:left w:val="none" w:sz="0" w:space="0" w:color="auto"/>
            <w:bottom w:val="none" w:sz="0" w:space="0" w:color="auto"/>
            <w:right w:val="none" w:sz="0" w:space="0" w:color="auto"/>
          </w:divBdr>
        </w:div>
        <w:div w:id="1434976555">
          <w:marLeft w:val="425"/>
          <w:marRight w:val="0"/>
          <w:marTop w:val="0"/>
          <w:marBottom w:val="0"/>
          <w:divBdr>
            <w:top w:val="none" w:sz="0" w:space="0" w:color="auto"/>
            <w:left w:val="none" w:sz="0" w:space="0" w:color="auto"/>
            <w:bottom w:val="none" w:sz="0" w:space="0" w:color="auto"/>
            <w:right w:val="none" w:sz="0" w:space="0" w:color="auto"/>
          </w:divBdr>
        </w:div>
        <w:div w:id="1691103840">
          <w:marLeft w:val="425"/>
          <w:marRight w:val="0"/>
          <w:marTop w:val="0"/>
          <w:marBottom w:val="0"/>
          <w:divBdr>
            <w:top w:val="none" w:sz="0" w:space="0" w:color="auto"/>
            <w:left w:val="none" w:sz="0" w:space="0" w:color="auto"/>
            <w:bottom w:val="none" w:sz="0" w:space="0" w:color="auto"/>
            <w:right w:val="none" w:sz="0" w:space="0" w:color="auto"/>
          </w:divBdr>
        </w:div>
        <w:div w:id="390425962">
          <w:marLeft w:val="425"/>
          <w:marRight w:val="0"/>
          <w:marTop w:val="0"/>
          <w:marBottom w:val="0"/>
          <w:divBdr>
            <w:top w:val="none" w:sz="0" w:space="0" w:color="auto"/>
            <w:left w:val="none" w:sz="0" w:space="0" w:color="auto"/>
            <w:bottom w:val="none" w:sz="0" w:space="0" w:color="auto"/>
            <w:right w:val="none" w:sz="0" w:space="0" w:color="auto"/>
          </w:divBdr>
        </w:div>
        <w:div w:id="734856657">
          <w:marLeft w:val="425"/>
          <w:marRight w:val="0"/>
          <w:marTop w:val="0"/>
          <w:marBottom w:val="0"/>
          <w:divBdr>
            <w:top w:val="none" w:sz="0" w:space="0" w:color="auto"/>
            <w:left w:val="none" w:sz="0" w:space="0" w:color="auto"/>
            <w:bottom w:val="none" w:sz="0" w:space="0" w:color="auto"/>
            <w:right w:val="none" w:sz="0" w:space="0" w:color="auto"/>
          </w:divBdr>
        </w:div>
        <w:div w:id="578103822">
          <w:marLeft w:val="425"/>
          <w:marRight w:val="0"/>
          <w:marTop w:val="0"/>
          <w:marBottom w:val="0"/>
          <w:divBdr>
            <w:top w:val="none" w:sz="0" w:space="0" w:color="auto"/>
            <w:left w:val="none" w:sz="0" w:space="0" w:color="auto"/>
            <w:bottom w:val="none" w:sz="0" w:space="0" w:color="auto"/>
            <w:right w:val="none" w:sz="0" w:space="0" w:color="auto"/>
          </w:divBdr>
        </w:div>
        <w:div w:id="1900088757">
          <w:marLeft w:val="0"/>
          <w:marRight w:val="0"/>
          <w:marTop w:val="240"/>
          <w:marBottom w:val="0"/>
          <w:divBdr>
            <w:top w:val="none" w:sz="0" w:space="0" w:color="auto"/>
            <w:left w:val="none" w:sz="0" w:space="0" w:color="auto"/>
            <w:bottom w:val="none" w:sz="0" w:space="0" w:color="auto"/>
            <w:right w:val="none" w:sz="0" w:space="0" w:color="auto"/>
          </w:divBdr>
        </w:div>
        <w:div w:id="1737167764">
          <w:marLeft w:val="0"/>
          <w:marRight w:val="0"/>
          <w:marTop w:val="240"/>
          <w:marBottom w:val="0"/>
          <w:divBdr>
            <w:top w:val="none" w:sz="0" w:space="0" w:color="auto"/>
            <w:left w:val="none" w:sz="0" w:space="0" w:color="auto"/>
            <w:bottom w:val="none" w:sz="0" w:space="0" w:color="auto"/>
            <w:right w:val="none" w:sz="0" w:space="0" w:color="auto"/>
          </w:divBdr>
        </w:div>
        <w:div w:id="767655632">
          <w:marLeft w:val="0"/>
          <w:marRight w:val="0"/>
          <w:marTop w:val="240"/>
          <w:marBottom w:val="0"/>
          <w:divBdr>
            <w:top w:val="none" w:sz="0" w:space="0" w:color="auto"/>
            <w:left w:val="none" w:sz="0" w:space="0" w:color="auto"/>
            <w:bottom w:val="none" w:sz="0" w:space="0" w:color="auto"/>
            <w:right w:val="none" w:sz="0" w:space="0" w:color="auto"/>
          </w:divBdr>
        </w:div>
        <w:div w:id="410809189">
          <w:marLeft w:val="0"/>
          <w:marRight w:val="0"/>
          <w:marTop w:val="240"/>
          <w:marBottom w:val="0"/>
          <w:divBdr>
            <w:top w:val="none" w:sz="0" w:space="0" w:color="auto"/>
            <w:left w:val="none" w:sz="0" w:space="0" w:color="auto"/>
            <w:bottom w:val="none" w:sz="0" w:space="0" w:color="auto"/>
            <w:right w:val="none" w:sz="0" w:space="0" w:color="auto"/>
          </w:divBdr>
        </w:div>
        <w:div w:id="275911667">
          <w:marLeft w:val="0"/>
          <w:marRight w:val="0"/>
          <w:marTop w:val="240"/>
          <w:marBottom w:val="0"/>
          <w:divBdr>
            <w:top w:val="none" w:sz="0" w:space="0" w:color="auto"/>
            <w:left w:val="none" w:sz="0" w:space="0" w:color="auto"/>
            <w:bottom w:val="none" w:sz="0" w:space="0" w:color="auto"/>
            <w:right w:val="none" w:sz="0" w:space="0" w:color="auto"/>
          </w:divBdr>
        </w:div>
      </w:divsChild>
    </w:div>
    <w:div w:id="1391659397">
      <w:bodyDiv w:val="1"/>
      <w:marLeft w:val="0"/>
      <w:marRight w:val="0"/>
      <w:marTop w:val="0"/>
      <w:marBottom w:val="0"/>
      <w:divBdr>
        <w:top w:val="none" w:sz="0" w:space="0" w:color="auto"/>
        <w:left w:val="none" w:sz="0" w:space="0" w:color="auto"/>
        <w:bottom w:val="none" w:sz="0" w:space="0" w:color="auto"/>
        <w:right w:val="none" w:sz="0" w:space="0" w:color="auto"/>
      </w:divBdr>
      <w:divsChild>
        <w:div w:id="200288141">
          <w:marLeft w:val="360"/>
          <w:marRight w:val="0"/>
          <w:marTop w:val="200"/>
          <w:marBottom w:val="0"/>
          <w:divBdr>
            <w:top w:val="none" w:sz="0" w:space="0" w:color="auto"/>
            <w:left w:val="none" w:sz="0" w:space="0" w:color="auto"/>
            <w:bottom w:val="none" w:sz="0" w:space="0" w:color="auto"/>
            <w:right w:val="none" w:sz="0" w:space="0" w:color="auto"/>
          </w:divBdr>
        </w:div>
      </w:divsChild>
    </w:div>
    <w:div w:id="1422528187">
      <w:bodyDiv w:val="1"/>
      <w:marLeft w:val="0"/>
      <w:marRight w:val="0"/>
      <w:marTop w:val="0"/>
      <w:marBottom w:val="0"/>
      <w:divBdr>
        <w:top w:val="none" w:sz="0" w:space="0" w:color="auto"/>
        <w:left w:val="none" w:sz="0" w:space="0" w:color="auto"/>
        <w:bottom w:val="none" w:sz="0" w:space="0" w:color="auto"/>
        <w:right w:val="none" w:sz="0" w:space="0" w:color="auto"/>
      </w:divBdr>
    </w:div>
    <w:div w:id="1450315463">
      <w:bodyDiv w:val="1"/>
      <w:marLeft w:val="0"/>
      <w:marRight w:val="0"/>
      <w:marTop w:val="0"/>
      <w:marBottom w:val="0"/>
      <w:divBdr>
        <w:top w:val="none" w:sz="0" w:space="0" w:color="auto"/>
        <w:left w:val="none" w:sz="0" w:space="0" w:color="auto"/>
        <w:bottom w:val="none" w:sz="0" w:space="0" w:color="auto"/>
        <w:right w:val="none" w:sz="0" w:space="0" w:color="auto"/>
      </w:divBdr>
      <w:divsChild>
        <w:div w:id="581794702">
          <w:marLeft w:val="0"/>
          <w:marRight w:val="0"/>
          <w:marTop w:val="240"/>
          <w:marBottom w:val="0"/>
          <w:divBdr>
            <w:top w:val="none" w:sz="0" w:space="0" w:color="auto"/>
            <w:left w:val="none" w:sz="0" w:space="0" w:color="auto"/>
            <w:bottom w:val="none" w:sz="0" w:space="0" w:color="auto"/>
            <w:right w:val="none" w:sz="0" w:space="0" w:color="auto"/>
          </w:divBdr>
        </w:div>
        <w:div w:id="591548963">
          <w:marLeft w:val="0"/>
          <w:marRight w:val="0"/>
          <w:marTop w:val="240"/>
          <w:marBottom w:val="0"/>
          <w:divBdr>
            <w:top w:val="none" w:sz="0" w:space="0" w:color="auto"/>
            <w:left w:val="none" w:sz="0" w:space="0" w:color="auto"/>
            <w:bottom w:val="none" w:sz="0" w:space="0" w:color="auto"/>
            <w:right w:val="none" w:sz="0" w:space="0" w:color="auto"/>
          </w:divBdr>
        </w:div>
        <w:div w:id="766270782">
          <w:marLeft w:val="425"/>
          <w:marRight w:val="0"/>
          <w:marTop w:val="0"/>
          <w:marBottom w:val="0"/>
          <w:divBdr>
            <w:top w:val="none" w:sz="0" w:space="0" w:color="auto"/>
            <w:left w:val="none" w:sz="0" w:space="0" w:color="auto"/>
            <w:bottom w:val="none" w:sz="0" w:space="0" w:color="auto"/>
            <w:right w:val="none" w:sz="0" w:space="0" w:color="auto"/>
          </w:divBdr>
        </w:div>
        <w:div w:id="1136722504">
          <w:marLeft w:val="425"/>
          <w:marRight w:val="0"/>
          <w:marTop w:val="0"/>
          <w:marBottom w:val="0"/>
          <w:divBdr>
            <w:top w:val="none" w:sz="0" w:space="0" w:color="auto"/>
            <w:left w:val="none" w:sz="0" w:space="0" w:color="auto"/>
            <w:bottom w:val="none" w:sz="0" w:space="0" w:color="auto"/>
            <w:right w:val="none" w:sz="0" w:space="0" w:color="auto"/>
          </w:divBdr>
        </w:div>
        <w:div w:id="534076886">
          <w:marLeft w:val="0"/>
          <w:marRight w:val="0"/>
          <w:marTop w:val="240"/>
          <w:marBottom w:val="0"/>
          <w:divBdr>
            <w:top w:val="none" w:sz="0" w:space="0" w:color="auto"/>
            <w:left w:val="none" w:sz="0" w:space="0" w:color="auto"/>
            <w:bottom w:val="none" w:sz="0" w:space="0" w:color="auto"/>
            <w:right w:val="none" w:sz="0" w:space="0" w:color="auto"/>
          </w:divBdr>
        </w:div>
        <w:div w:id="253823033">
          <w:marLeft w:val="425"/>
          <w:marRight w:val="0"/>
          <w:marTop w:val="0"/>
          <w:marBottom w:val="0"/>
          <w:divBdr>
            <w:top w:val="none" w:sz="0" w:space="0" w:color="auto"/>
            <w:left w:val="none" w:sz="0" w:space="0" w:color="auto"/>
            <w:bottom w:val="none" w:sz="0" w:space="0" w:color="auto"/>
            <w:right w:val="none" w:sz="0" w:space="0" w:color="auto"/>
          </w:divBdr>
        </w:div>
        <w:div w:id="191579338">
          <w:marLeft w:val="425"/>
          <w:marRight w:val="0"/>
          <w:marTop w:val="0"/>
          <w:marBottom w:val="0"/>
          <w:divBdr>
            <w:top w:val="none" w:sz="0" w:space="0" w:color="auto"/>
            <w:left w:val="none" w:sz="0" w:space="0" w:color="auto"/>
            <w:bottom w:val="none" w:sz="0" w:space="0" w:color="auto"/>
            <w:right w:val="none" w:sz="0" w:space="0" w:color="auto"/>
          </w:divBdr>
        </w:div>
        <w:div w:id="478155303">
          <w:marLeft w:val="0"/>
          <w:marRight w:val="0"/>
          <w:marTop w:val="240"/>
          <w:marBottom w:val="0"/>
          <w:divBdr>
            <w:top w:val="none" w:sz="0" w:space="0" w:color="auto"/>
            <w:left w:val="none" w:sz="0" w:space="0" w:color="auto"/>
            <w:bottom w:val="none" w:sz="0" w:space="0" w:color="auto"/>
            <w:right w:val="none" w:sz="0" w:space="0" w:color="auto"/>
          </w:divBdr>
        </w:div>
        <w:div w:id="1551067189">
          <w:marLeft w:val="0"/>
          <w:marRight w:val="0"/>
          <w:marTop w:val="240"/>
          <w:marBottom w:val="0"/>
          <w:divBdr>
            <w:top w:val="none" w:sz="0" w:space="0" w:color="auto"/>
            <w:left w:val="none" w:sz="0" w:space="0" w:color="auto"/>
            <w:bottom w:val="none" w:sz="0" w:space="0" w:color="auto"/>
            <w:right w:val="none" w:sz="0" w:space="0" w:color="auto"/>
          </w:divBdr>
        </w:div>
      </w:divsChild>
    </w:div>
    <w:div w:id="1460879695">
      <w:bodyDiv w:val="1"/>
      <w:marLeft w:val="0"/>
      <w:marRight w:val="0"/>
      <w:marTop w:val="0"/>
      <w:marBottom w:val="0"/>
      <w:divBdr>
        <w:top w:val="none" w:sz="0" w:space="0" w:color="auto"/>
        <w:left w:val="none" w:sz="0" w:space="0" w:color="auto"/>
        <w:bottom w:val="none" w:sz="0" w:space="0" w:color="auto"/>
        <w:right w:val="none" w:sz="0" w:space="0" w:color="auto"/>
      </w:divBdr>
    </w:div>
    <w:div w:id="1473671808">
      <w:bodyDiv w:val="1"/>
      <w:marLeft w:val="0"/>
      <w:marRight w:val="0"/>
      <w:marTop w:val="0"/>
      <w:marBottom w:val="0"/>
      <w:divBdr>
        <w:top w:val="none" w:sz="0" w:space="0" w:color="auto"/>
        <w:left w:val="none" w:sz="0" w:space="0" w:color="auto"/>
        <w:bottom w:val="none" w:sz="0" w:space="0" w:color="auto"/>
        <w:right w:val="none" w:sz="0" w:space="0" w:color="auto"/>
      </w:divBdr>
    </w:div>
    <w:div w:id="1482960504">
      <w:bodyDiv w:val="1"/>
      <w:marLeft w:val="0"/>
      <w:marRight w:val="0"/>
      <w:marTop w:val="0"/>
      <w:marBottom w:val="0"/>
      <w:divBdr>
        <w:top w:val="none" w:sz="0" w:space="0" w:color="auto"/>
        <w:left w:val="none" w:sz="0" w:space="0" w:color="auto"/>
        <w:bottom w:val="none" w:sz="0" w:space="0" w:color="auto"/>
        <w:right w:val="none" w:sz="0" w:space="0" w:color="auto"/>
      </w:divBdr>
    </w:div>
    <w:div w:id="1534077149">
      <w:bodyDiv w:val="1"/>
      <w:marLeft w:val="0"/>
      <w:marRight w:val="0"/>
      <w:marTop w:val="0"/>
      <w:marBottom w:val="0"/>
      <w:divBdr>
        <w:top w:val="none" w:sz="0" w:space="0" w:color="auto"/>
        <w:left w:val="none" w:sz="0" w:space="0" w:color="auto"/>
        <w:bottom w:val="none" w:sz="0" w:space="0" w:color="auto"/>
        <w:right w:val="none" w:sz="0" w:space="0" w:color="auto"/>
      </w:divBdr>
    </w:div>
    <w:div w:id="1552033697">
      <w:bodyDiv w:val="1"/>
      <w:marLeft w:val="0"/>
      <w:marRight w:val="0"/>
      <w:marTop w:val="0"/>
      <w:marBottom w:val="0"/>
      <w:divBdr>
        <w:top w:val="none" w:sz="0" w:space="0" w:color="auto"/>
        <w:left w:val="none" w:sz="0" w:space="0" w:color="auto"/>
        <w:bottom w:val="none" w:sz="0" w:space="0" w:color="auto"/>
        <w:right w:val="none" w:sz="0" w:space="0" w:color="auto"/>
      </w:divBdr>
    </w:div>
    <w:div w:id="1575820487">
      <w:bodyDiv w:val="1"/>
      <w:marLeft w:val="0"/>
      <w:marRight w:val="0"/>
      <w:marTop w:val="0"/>
      <w:marBottom w:val="0"/>
      <w:divBdr>
        <w:top w:val="none" w:sz="0" w:space="0" w:color="auto"/>
        <w:left w:val="none" w:sz="0" w:space="0" w:color="auto"/>
        <w:bottom w:val="none" w:sz="0" w:space="0" w:color="auto"/>
        <w:right w:val="none" w:sz="0" w:space="0" w:color="auto"/>
      </w:divBdr>
      <w:divsChild>
        <w:div w:id="44107725">
          <w:marLeft w:val="0"/>
          <w:marRight w:val="0"/>
          <w:marTop w:val="480"/>
          <w:marBottom w:val="0"/>
          <w:divBdr>
            <w:top w:val="none" w:sz="0" w:space="0" w:color="auto"/>
            <w:left w:val="none" w:sz="0" w:space="0" w:color="auto"/>
            <w:bottom w:val="none" w:sz="0" w:space="0" w:color="auto"/>
            <w:right w:val="none" w:sz="0" w:space="0" w:color="auto"/>
          </w:divBdr>
        </w:div>
        <w:div w:id="1059282485">
          <w:marLeft w:val="0"/>
          <w:marRight w:val="0"/>
          <w:marTop w:val="480"/>
          <w:marBottom w:val="0"/>
          <w:divBdr>
            <w:top w:val="none" w:sz="0" w:space="0" w:color="auto"/>
            <w:left w:val="none" w:sz="0" w:space="0" w:color="auto"/>
            <w:bottom w:val="none" w:sz="0" w:space="0" w:color="auto"/>
            <w:right w:val="none" w:sz="0" w:space="0" w:color="auto"/>
          </w:divBdr>
        </w:div>
        <w:div w:id="1211072245">
          <w:marLeft w:val="0"/>
          <w:marRight w:val="0"/>
          <w:marTop w:val="240"/>
          <w:marBottom w:val="0"/>
          <w:divBdr>
            <w:top w:val="none" w:sz="0" w:space="0" w:color="auto"/>
            <w:left w:val="none" w:sz="0" w:space="0" w:color="auto"/>
            <w:bottom w:val="none" w:sz="0" w:space="0" w:color="auto"/>
            <w:right w:val="none" w:sz="0" w:space="0" w:color="auto"/>
          </w:divBdr>
        </w:div>
        <w:div w:id="719593169">
          <w:marLeft w:val="0"/>
          <w:marRight w:val="0"/>
          <w:marTop w:val="240"/>
          <w:marBottom w:val="0"/>
          <w:divBdr>
            <w:top w:val="none" w:sz="0" w:space="0" w:color="auto"/>
            <w:left w:val="none" w:sz="0" w:space="0" w:color="auto"/>
            <w:bottom w:val="none" w:sz="0" w:space="0" w:color="auto"/>
            <w:right w:val="none" w:sz="0" w:space="0" w:color="auto"/>
          </w:divBdr>
        </w:div>
        <w:div w:id="1364473655">
          <w:marLeft w:val="0"/>
          <w:marRight w:val="0"/>
          <w:marTop w:val="240"/>
          <w:marBottom w:val="0"/>
          <w:divBdr>
            <w:top w:val="none" w:sz="0" w:space="0" w:color="auto"/>
            <w:left w:val="none" w:sz="0" w:space="0" w:color="auto"/>
            <w:bottom w:val="none" w:sz="0" w:space="0" w:color="auto"/>
            <w:right w:val="none" w:sz="0" w:space="0" w:color="auto"/>
          </w:divBdr>
        </w:div>
        <w:div w:id="1087311405">
          <w:marLeft w:val="0"/>
          <w:marRight w:val="0"/>
          <w:marTop w:val="240"/>
          <w:marBottom w:val="0"/>
          <w:divBdr>
            <w:top w:val="none" w:sz="0" w:space="0" w:color="auto"/>
            <w:left w:val="none" w:sz="0" w:space="0" w:color="auto"/>
            <w:bottom w:val="none" w:sz="0" w:space="0" w:color="auto"/>
            <w:right w:val="none" w:sz="0" w:space="0" w:color="auto"/>
          </w:divBdr>
        </w:div>
      </w:divsChild>
    </w:div>
    <w:div w:id="1577090908">
      <w:bodyDiv w:val="1"/>
      <w:marLeft w:val="0"/>
      <w:marRight w:val="0"/>
      <w:marTop w:val="0"/>
      <w:marBottom w:val="0"/>
      <w:divBdr>
        <w:top w:val="none" w:sz="0" w:space="0" w:color="auto"/>
        <w:left w:val="none" w:sz="0" w:space="0" w:color="auto"/>
        <w:bottom w:val="none" w:sz="0" w:space="0" w:color="auto"/>
        <w:right w:val="none" w:sz="0" w:space="0" w:color="auto"/>
      </w:divBdr>
    </w:div>
    <w:div w:id="1661304818">
      <w:bodyDiv w:val="1"/>
      <w:marLeft w:val="0"/>
      <w:marRight w:val="0"/>
      <w:marTop w:val="0"/>
      <w:marBottom w:val="0"/>
      <w:divBdr>
        <w:top w:val="none" w:sz="0" w:space="0" w:color="auto"/>
        <w:left w:val="none" w:sz="0" w:space="0" w:color="auto"/>
        <w:bottom w:val="none" w:sz="0" w:space="0" w:color="auto"/>
        <w:right w:val="none" w:sz="0" w:space="0" w:color="auto"/>
      </w:divBdr>
    </w:div>
    <w:div w:id="1678263115">
      <w:bodyDiv w:val="1"/>
      <w:marLeft w:val="0"/>
      <w:marRight w:val="0"/>
      <w:marTop w:val="0"/>
      <w:marBottom w:val="0"/>
      <w:divBdr>
        <w:top w:val="none" w:sz="0" w:space="0" w:color="auto"/>
        <w:left w:val="none" w:sz="0" w:space="0" w:color="auto"/>
        <w:bottom w:val="none" w:sz="0" w:space="0" w:color="auto"/>
        <w:right w:val="none" w:sz="0" w:space="0" w:color="auto"/>
      </w:divBdr>
      <w:divsChild>
        <w:div w:id="1696804596">
          <w:marLeft w:val="0"/>
          <w:marRight w:val="0"/>
          <w:marTop w:val="240"/>
          <w:marBottom w:val="0"/>
          <w:divBdr>
            <w:top w:val="none" w:sz="0" w:space="0" w:color="auto"/>
            <w:left w:val="none" w:sz="0" w:space="0" w:color="auto"/>
            <w:bottom w:val="none" w:sz="0" w:space="0" w:color="auto"/>
            <w:right w:val="none" w:sz="0" w:space="0" w:color="auto"/>
          </w:divBdr>
        </w:div>
        <w:div w:id="1492721001">
          <w:marLeft w:val="425"/>
          <w:marRight w:val="0"/>
          <w:marTop w:val="0"/>
          <w:marBottom w:val="0"/>
          <w:divBdr>
            <w:top w:val="none" w:sz="0" w:space="0" w:color="auto"/>
            <w:left w:val="none" w:sz="0" w:space="0" w:color="auto"/>
            <w:bottom w:val="none" w:sz="0" w:space="0" w:color="auto"/>
            <w:right w:val="none" w:sz="0" w:space="0" w:color="auto"/>
          </w:divBdr>
        </w:div>
        <w:div w:id="1407462079">
          <w:marLeft w:val="425"/>
          <w:marRight w:val="0"/>
          <w:marTop w:val="0"/>
          <w:marBottom w:val="0"/>
          <w:divBdr>
            <w:top w:val="none" w:sz="0" w:space="0" w:color="auto"/>
            <w:left w:val="none" w:sz="0" w:space="0" w:color="auto"/>
            <w:bottom w:val="none" w:sz="0" w:space="0" w:color="auto"/>
            <w:right w:val="none" w:sz="0" w:space="0" w:color="auto"/>
          </w:divBdr>
        </w:div>
        <w:div w:id="1904024013">
          <w:marLeft w:val="425"/>
          <w:marRight w:val="0"/>
          <w:marTop w:val="0"/>
          <w:marBottom w:val="0"/>
          <w:divBdr>
            <w:top w:val="none" w:sz="0" w:space="0" w:color="auto"/>
            <w:left w:val="none" w:sz="0" w:space="0" w:color="auto"/>
            <w:bottom w:val="none" w:sz="0" w:space="0" w:color="auto"/>
            <w:right w:val="none" w:sz="0" w:space="0" w:color="auto"/>
          </w:divBdr>
        </w:div>
      </w:divsChild>
    </w:div>
    <w:div w:id="1687252365">
      <w:bodyDiv w:val="1"/>
      <w:marLeft w:val="0"/>
      <w:marRight w:val="0"/>
      <w:marTop w:val="0"/>
      <w:marBottom w:val="0"/>
      <w:divBdr>
        <w:top w:val="none" w:sz="0" w:space="0" w:color="auto"/>
        <w:left w:val="none" w:sz="0" w:space="0" w:color="auto"/>
        <w:bottom w:val="none" w:sz="0" w:space="0" w:color="auto"/>
        <w:right w:val="none" w:sz="0" w:space="0" w:color="auto"/>
      </w:divBdr>
    </w:div>
    <w:div w:id="1692102257">
      <w:bodyDiv w:val="1"/>
      <w:marLeft w:val="0"/>
      <w:marRight w:val="0"/>
      <w:marTop w:val="0"/>
      <w:marBottom w:val="0"/>
      <w:divBdr>
        <w:top w:val="none" w:sz="0" w:space="0" w:color="auto"/>
        <w:left w:val="none" w:sz="0" w:space="0" w:color="auto"/>
        <w:bottom w:val="none" w:sz="0" w:space="0" w:color="auto"/>
        <w:right w:val="none" w:sz="0" w:space="0" w:color="auto"/>
      </w:divBdr>
      <w:divsChild>
        <w:div w:id="219486446">
          <w:marLeft w:val="0"/>
          <w:marRight w:val="0"/>
          <w:marTop w:val="240"/>
          <w:marBottom w:val="0"/>
          <w:divBdr>
            <w:top w:val="none" w:sz="0" w:space="0" w:color="auto"/>
            <w:left w:val="none" w:sz="0" w:space="0" w:color="auto"/>
            <w:bottom w:val="none" w:sz="0" w:space="0" w:color="auto"/>
            <w:right w:val="none" w:sz="0" w:space="0" w:color="auto"/>
          </w:divBdr>
        </w:div>
        <w:div w:id="2068143998">
          <w:marLeft w:val="425"/>
          <w:marRight w:val="0"/>
          <w:marTop w:val="0"/>
          <w:marBottom w:val="0"/>
          <w:divBdr>
            <w:top w:val="none" w:sz="0" w:space="0" w:color="auto"/>
            <w:left w:val="none" w:sz="0" w:space="0" w:color="auto"/>
            <w:bottom w:val="none" w:sz="0" w:space="0" w:color="auto"/>
            <w:right w:val="none" w:sz="0" w:space="0" w:color="auto"/>
          </w:divBdr>
        </w:div>
        <w:div w:id="336734700">
          <w:marLeft w:val="425"/>
          <w:marRight w:val="0"/>
          <w:marTop w:val="0"/>
          <w:marBottom w:val="0"/>
          <w:divBdr>
            <w:top w:val="none" w:sz="0" w:space="0" w:color="auto"/>
            <w:left w:val="none" w:sz="0" w:space="0" w:color="auto"/>
            <w:bottom w:val="none" w:sz="0" w:space="0" w:color="auto"/>
            <w:right w:val="none" w:sz="0" w:space="0" w:color="auto"/>
          </w:divBdr>
        </w:div>
      </w:divsChild>
    </w:div>
    <w:div w:id="1797210115">
      <w:bodyDiv w:val="1"/>
      <w:marLeft w:val="0"/>
      <w:marRight w:val="0"/>
      <w:marTop w:val="0"/>
      <w:marBottom w:val="0"/>
      <w:divBdr>
        <w:top w:val="none" w:sz="0" w:space="0" w:color="auto"/>
        <w:left w:val="none" w:sz="0" w:space="0" w:color="auto"/>
        <w:bottom w:val="none" w:sz="0" w:space="0" w:color="auto"/>
        <w:right w:val="none" w:sz="0" w:space="0" w:color="auto"/>
      </w:divBdr>
    </w:div>
    <w:div w:id="1805151085">
      <w:bodyDiv w:val="1"/>
      <w:marLeft w:val="0"/>
      <w:marRight w:val="0"/>
      <w:marTop w:val="0"/>
      <w:marBottom w:val="0"/>
      <w:divBdr>
        <w:top w:val="none" w:sz="0" w:space="0" w:color="auto"/>
        <w:left w:val="none" w:sz="0" w:space="0" w:color="auto"/>
        <w:bottom w:val="none" w:sz="0" w:space="0" w:color="auto"/>
        <w:right w:val="none" w:sz="0" w:space="0" w:color="auto"/>
      </w:divBdr>
      <w:divsChild>
        <w:div w:id="443960191">
          <w:marLeft w:val="0"/>
          <w:marRight w:val="0"/>
          <w:marTop w:val="240"/>
          <w:marBottom w:val="0"/>
          <w:divBdr>
            <w:top w:val="none" w:sz="0" w:space="0" w:color="auto"/>
            <w:left w:val="none" w:sz="0" w:space="0" w:color="auto"/>
            <w:bottom w:val="none" w:sz="0" w:space="0" w:color="auto"/>
            <w:right w:val="none" w:sz="0" w:space="0" w:color="auto"/>
          </w:divBdr>
        </w:div>
        <w:div w:id="1903521816">
          <w:marLeft w:val="425"/>
          <w:marRight w:val="0"/>
          <w:marTop w:val="0"/>
          <w:marBottom w:val="0"/>
          <w:divBdr>
            <w:top w:val="none" w:sz="0" w:space="0" w:color="auto"/>
            <w:left w:val="none" w:sz="0" w:space="0" w:color="auto"/>
            <w:bottom w:val="none" w:sz="0" w:space="0" w:color="auto"/>
            <w:right w:val="none" w:sz="0" w:space="0" w:color="auto"/>
          </w:divBdr>
        </w:div>
        <w:div w:id="1972054782">
          <w:marLeft w:val="425"/>
          <w:marRight w:val="0"/>
          <w:marTop w:val="0"/>
          <w:marBottom w:val="0"/>
          <w:divBdr>
            <w:top w:val="none" w:sz="0" w:space="0" w:color="auto"/>
            <w:left w:val="none" w:sz="0" w:space="0" w:color="auto"/>
            <w:bottom w:val="none" w:sz="0" w:space="0" w:color="auto"/>
            <w:right w:val="none" w:sz="0" w:space="0" w:color="auto"/>
          </w:divBdr>
        </w:div>
      </w:divsChild>
    </w:div>
    <w:div w:id="1826163106">
      <w:bodyDiv w:val="1"/>
      <w:marLeft w:val="0"/>
      <w:marRight w:val="0"/>
      <w:marTop w:val="0"/>
      <w:marBottom w:val="0"/>
      <w:divBdr>
        <w:top w:val="none" w:sz="0" w:space="0" w:color="auto"/>
        <w:left w:val="none" w:sz="0" w:space="0" w:color="auto"/>
        <w:bottom w:val="none" w:sz="0" w:space="0" w:color="auto"/>
        <w:right w:val="none" w:sz="0" w:space="0" w:color="auto"/>
      </w:divBdr>
      <w:divsChild>
        <w:div w:id="397242793">
          <w:marLeft w:val="0"/>
          <w:marRight w:val="0"/>
          <w:marTop w:val="240"/>
          <w:marBottom w:val="0"/>
          <w:divBdr>
            <w:top w:val="none" w:sz="0" w:space="0" w:color="auto"/>
            <w:left w:val="none" w:sz="0" w:space="0" w:color="auto"/>
            <w:bottom w:val="none" w:sz="0" w:space="0" w:color="auto"/>
            <w:right w:val="none" w:sz="0" w:space="0" w:color="auto"/>
          </w:divBdr>
        </w:div>
        <w:div w:id="242107374">
          <w:marLeft w:val="0"/>
          <w:marRight w:val="0"/>
          <w:marTop w:val="240"/>
          <w:marBottom w:val="0"/>
          <w:divBdr>
            <w:top w:val="none" w:sz="0" w:space="0" w:color="auto"/>
            <w:left w:val="none" w:sz="0" w:space="0" w:color="auto"/>
            <w:bottom w:val="none" w:sz="0" w:space="0" w:color="auto"/>
            <w:right w:val="none" w:sz="0" w:space="0" w:color="auto"/>
          </w:divBdr>
        </w:div>
        <w:div w:id="314144450">
          <w:marLeft w:val="425"/>
          <w:marRight w:val="0"/>
          <w:marTop w:val="0"/>
          <w:marBottom w:val="0"/>
          <w:divBdr>
            <w:top w:val="none" w:sz="0" w:space="0" w:color="auto"/>
            <w:left w:val="none" w:sz="0" w:space="0" w:color="auto"/>
            <w:bottom w:val="none" w:sz="0" w:space="0" w:color="auto"/>
            <w:right w:val="none" w:sz="0" w:space="0" w:color="auto"/>
          </w:divBdr>
        </w:div>
        <w:div w:id="502167656">
          <w:marLeft w:val="425"/>
          <w:marRight w:val="0"/>
          <w:marTop w:val="0"/>
          <w:marBottom w:val="0"/>
          <w:divBdr>
            <w:top w:val="none" w:sz="0" w:space="0" w:color="auto"/>
            <w:left w:val="none" w:sz="0" w:space="0" w:color="auto"/>
            <w:bottom w:val="none" w:sz="0" w:space="0" w:color="auto"/>
            <w:right w:val="none" w:sz="0" w:space="0" w:color="auto"/>
          </w:divBdr>
        </w:div>
      </w:divsChild>
    </w:div>
    <w:div w:id="1869641457">
      <w:bodyDiv w:val="1"/>
      <w:marLeft w:val="0"/>
      <w:marRight w:val="0"/>
      <w:marTop w:val="0"/>
      <w:marBottom w:val="0"/>
      <w:divBdr>
        <w:top w:val="none" w:sz="0" w:space="0" w:color="auto"/>
        <w:left w:val="none" w:sz="0" w:space="0" w:color="auto"/>
        <w:bottom w:val="none" w:sz="0" w:space="0" w:color="auto"/>
        <w:right w:val="none" w:sz="0" w:space="0" w:color="auto"/>
      </w:divBdr>
    </w:div>
    <w:div w:id="1988169528">
      <w:bodyDiv w:val="1"/>
      <w:marLeft w:val="0"/>
      <w:marRight w:val="0"/>
      <w:marTop w:val="0"/>
      <w:marBottom w:val="0"/>
      <w:divBdr>
        <w:top w:val="none" w:sz="0" w:space="0" w:color="auto"/>
        <w:left w:val="none" w:sz="0" w:space="0" w:color="auto"/>
        <w:bottom w:val="none" w:sz="0" w:space="0" w:color="auto"/>
        <w:right w:val="none" w:sz="0" w:space="0" w:color="auto"/>
      </w:divBdr>
      <w:divsChild>
        <w:div w:id="1174029160">
          <w:marLeft w:val="0"/>
          <w:marRight w:val="0"/>
          <w:marTop w:val="0"/>
          <w:marBottom w:val="0"/>
          <w:divBdr>
            <w:top w:val="none" w:sz="0" w:space="0" w:color="auto"/>
            <w:left w:val="none" w:sz="0" w:space="0" w:color="auto"/>
            <w:bottom w:val="none" w:sz="0" w:space="0" w:color="auto"/>
            <w:right w:val="none" w:sz="0" w:space="0" w:color="auto"/>
          </w:divBdr>
          <w:divsChild>
            <w:div w:id="1739860653">
              <w:marLeft w:val="0"/>
              <w:marRight w:val="0"/>
              <w:marTop w:val="0"/>
              <w:marBottom w:val="0"/>
              <w:divBdr>
                <w:top w:val="none" w:sz="0" w:space="0" w:color="auto"/>
                <w:left w:val="none" w:sz="0" w:space="0" w:color="auto"/>
                <w:bottom w:val="none" w:sz="0" w:space="0" w:color="auto"/>
                <w:right w:val="none" w:sz="0" w:space="0" w:color="auto"/>
              </w:divBdr>
              <w:divsChild>
                <w:div w:id="142654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505309">
      <w:bodyDiv w:val="1"/>
      <w:marLeft w:val="0"/>
      <w:marRight w:val="0"/>
      <w:marTop w:val="0"/>
      <w:marBottom w:val="0"/>
      <w:divBdr>
        <w:top w:val="none" w:sz="0" w:space="0" w:color="auto"/>
        <w:left w:val="none" w:sz="0" w:space="0" w:color="auto"/>
        <w:bottom w:val="none" w:sz="0" w:space="0" w:color="auto"/>
        <w:right w:val="none" w:sz="0" w:space="0" w:color="auto"/>
      </w:divBdr>
      <w:divsChild>
        <w:div w:id="418407395">
          <w:marLeft w:val="-225"/>
          <w:marRight w:val="-225"/>
          <w:marTop w:val="0"/>
          <w:marBottom w:val="0"/>
          <w:divBdr>
            <w:top w:val="none" w:sz="0" w:space="0" w:color="auto"/>
            <w:left w:val="none" w:sz="0" w:space="0" w:color="auto"/>
            <w:bottom w:val="none" w:sz="0" w:space="0" w:color="auto"/>
            <w:right w:val="none" w:sz="0" w:space="0" w:color="auto"/>
          </w:divBdr>
        </w:div>
        <w:div w:id="583028731">
          <w:marLeft w:val="-225"/>
          <w:marRight w:val="-225"/>
          <w:marTop w:val="0"/>
          <w:marBottom w:val="0"/>
          <w:divBdr>
            <w:top w:val="none" w:sz="0" w:space="0" w:color="auto"/>
            <w:left w:val="none" w:sz="0" w:space="0" w:color="auto"/>
            <w:bottom w:val="none" w:sz="0" w:space="0" w:color="auto"/>
            <w:right w:val="none" w:sz="0" w:space="0" w:color="auto"/>
          </w:divBdr>
        </w:div>
      </w:divsChild>
    </w:div>
    <w:div w:id="2074498257">
      <w:bodyDiv w:val="1"/>
      <w:marLeft w:val="0"/>
      <w:marRight w:val="0"/>
      <w:marTop w:val="0"/>
      <w:marBottom w:val="0"/>
      <w:divBdr>
        <w:top w:val="none" w:sz="0" w:space="0" w:color="auto"/>
        <w:left w:val="none" w:sz="0" w:space="0" w:color="auto"/>
        <w:bottom w:val="none" w:sz="0" w:space="0" w:color="auto"/>
        <w:right w:val="none" w:sz="0" w:space="0" w:color="auto"/>
      </w:divBdr>
      <w:divsChild>
        <w:div w:id="1312756827">
          <w:marLeft w:val="0"/>
          <w:marRight w:val="0"/>
          <w:marTop w:val="0"/>
          <w:marBottom w:val="0"/>
          <w:divBdr>
            <w:top w:val="none" w:sz="0" w:space="0" w:color="auto"/>
            <w:left w:val="none" w:sz="0" w:space="0" w:color="auto"/>
            <w:bottom w:val="none" w:sz="0" w:space="0" w:color="auto"/>
            <w:right w:val="none" w:sz="0" w:space="0" w:color="auto"/>
          </w:divBdr>
          <w:divsChild>
            <w:div w:id="1802652202">
              <w:marLeft w:val="0"/>
              <w:marRight w:val="0"/>
              <w:marTop w:val="0"/>
              <w:marBottom w:val="0"/>
              <w:divBdr>
                <w:top w:val="none" w:sz="0" w:space="0" w:color="auto"/>
                <w:left w:val="none" w:sz="0" w:space="0" w:color="auto"/>
                <w:bottom w:val="none" w:sz="0" w:space="0" w:color="auto"/>
                <w:right w:val="none" w:sz="0" w:space="0" w:color="auto"/>
              </w:divBdr>
              <w:divsChild>
                <w:div w:id="77641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630518">
      <w:bodyDiv w:val="1"/>
      <w:marLeft w:val="0"/>
      <w:marRight w:val="0"/>
      <w:marTop w:val="0"/>
      <w:marBottom w:val="0"/>
      <w:divBdr>
        <w:top w:val="none" w:sz="0" w:space="0" w:color="auto"/>
        <w:left w:val="none" w:sz="0" w:space="0" w:color="auto"/>
        <w:bottom w:val="none" w:sz="0" w:space="0" w:color="auto"/>
        <w:right w:val="none" w:sz="0" w:space="0" w:color="auto"/>
      </w:divBdr>
      <w:divsChild>
        <w:div w:id="920529960">
          <w:marLeft w:val="72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euipo.europa.eu/eSearchCLW/" TargetMode="External"/><Relationship Id="rId25" Type="http://schemas.openxmlformats.org/officeDocument/2006/relationships/image" Target="media/image10.png"/><Relationship Id="rId33" Type="http://schemas.openxmlformats.org/officeDocument/2006/relationships/hyperlink" Target="https://www.europarl.europa.eu/factsheets/en/sheet/36/intellectual-industrial-and-commercial-property"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hyperlink" Target="https://www.euipo.europa.eu/en/observatory/enforcement/case-law" TargetMode="Externa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oleObject" Target="embeddings/oleObject1.bin"/><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hyperlink" Target="https://euipo.europa.eu/tunnel-web/secure/webdav/guest/document_library/observatory/documents/reports/2023_Trade_Secrets_Litigation_Trends_in_the_EU/2023_Trade_Secrets_Litigation_Trends_Study_FullR_en.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4.png"/><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epo.org/en/legal/guidelines-epc/2026/index.html%20(20" TargetMode="External"/><Relationship Id="rId2" Type="http://schemas.openxmlformats.org/officeDocument/2006/relationships/hyperlink" Target="https://euipo.europa.eu/tunnel-web/secure/webdav/guest/document_library/observatory/documents/reports/2023_Trade_Secrets_Litigation_Trends_in_the_EU/2023_Trade_Secrets_Litigation_Trends_Study_FullR_en.pdf" TargetMode="External"/><Relationship Id="rId1" Type="http://schemas.openxmlformats.org/officeDocument/2006/relationships/hyperlink" Target="https://www.euipo.europa.eu/en/observatory/enforcement/case-law" TargetMode="External"/></Relationships>
</file>

<file path=word/theme/theme1.xml><?xml version="1.0" encoding="utf-8"?>
<a:theme xmlns:a="http://schemas.openxmlformats.org/drawingml/2006/main" name="Facet">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5B6073-CEF0-4B4E-8CA7-D7175DA94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55</Pages>
  <Words>13022</Words>
  <Characters>74227</Characters>
  <Application>Microsoft Office Word</Application>
  <DocSecurity>0</DocSecurity>
  <Lines>618</Lines>
  <Paragraphs>174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87075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Eneja Drobez</dc:creator>
  <cp:keywords/>
  <dc:description/>
  <cp:lastModifiedBy>Ana Otoničar</cp:lastModifiedBy>
  <cp:revision>5</cp:revision>
  <cp:lastPrinted>2024-06-20T06:32:00Z</cp:lastPrinted>
  <dcterms:created xsi:type="dcterms:W3CDTF">2026-05-21T06:58:00Z</dcterms:created>
  <dcterms:modified xsi:type="dcterms:W3CDTF">2026-06-29T08:43:00Z</dcterms:modified>
</cp:coreProperties>
</file>